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clear" w:pos="4536"/>
        </w:tabs>
        <w:snapToGrid w:val="0"/>
        <w:rPr>
          <w:rFonts w:eastAsia="宋体"/>
          <w:sz w:val="22"/>
          <w:szCs w:val="22"/>
          <w:lang w:eastAsia="zh-CN"/>
        </w:rPr>
      </w:pPr>
      <w:r>
        <w:rPr>
          <w:sz w:val="22"/>
          <w:szCs w:val="22"/>
        </w:rPr>
        <w:t>3GPP TSG RAN WG1</w:t>
      </w:r>
      <w:r>
        <w:rPr>
          <w:rFonts w:hint="eastAsia" w:asciiTheme="minorEastAsia" w:hAnsiTheme="minorEastAsia" w:eastAsiaTheme="minorEastAsia"/>
          <w:sz w:val="22"/>
          <w:szCs w:val="22"/>
          <w:lang w:eastAsia="zh-CN"/>
        </w:rPr>
        <w:t xml:space="preserve"> </w:t>
      </w:r>
      <w:r>
        <w:rPr>
          <w:sz w:val="22"/>
          <w:szCs w:val="22"/>
        </w:rPr>
        <w:t>Meeting #10</w:t>
      </w:r>
      <w:r>
        <w:rPr>
          <w:rFonts w:hint="eastAsia" w:eastAsia="宋体"/>
          <w:sz w:val="22"/>
          <w:szCs w:val="22"/>
          <w:lang w:eastAsia="zh-CN"/>
        </w:rPr>
        <w:t>2</w:t>
      </w:r>
      <w:r>
        <w:rPr>
          <w:sz w:val="22"/>
          <w:szCs w:val="22"/>
        </w:rPr>
        <w:t>-e</w:t>
      </w:r>
      <w:r>
        <w:rPr>
          <w:rFonts w:hint="eastAsia"/>
          <w:sz w:val="22"/>
          <w:szCs w:val="22"/>
        </w:rPr>
        <w:t xml:space="preserve">                                        </w:t>
      </w:r>
      <w:r>
        <w:rPr>
          <w:sz w:val="22"/>
          <w:szCs w:val="22"/>
        </w:rPr>
        <w:t xml:space="preserve">               </w:t>
      </w:r>
      <w:r>
        <w:rPr>
          <w:rFonts w:hint="eastAsia"/>
          <w:sz w:val="22"/>
          <w:szCs w:val="22"/>
        </w:rPr>
        <w:t xml:space="preserve">             R1-2005553</w:t>
      </w:r>
    </w:p>
    <w:p>
      <w:pPr>
        <w:snapToGrid w:val="0"/>
        <w:spacing w:line="240" w:lineRule="auto"/>
        <w:rPr>
          <w:rFonts w:ascii="Arial" w:hAnsi="Arial" w:eastAsia="MS Mincho"/>
          <w:b/>
          <w:lang w:eastAsia="en-US"/>
        </w:rPr>
      </w:pPr>
      <w:r>
        <w:rPr>
          <w:rFonts w:ascii="Arial" w:hAnsi="Arial"/>
          <w:b/>
          <w:lang w:eastAsia="ja-JP"/>
        </w:rPr>
        <w:t>e-Meeting, August 17</w:t>
      </w:r>
      <w:r>
        <w:rPr>
          <w:rFonts w:ascii="Arial" w:hAnsi="Arial"/>
          <w:b/>
          <w:vertAlign w:val="superscript"/>
          <w:lang w:eastAsia="ja-JP"/>
        </w:rPr>
        <w:t>th</w:t>
      </w:r>
      <w:r>
        <w:rPr>
          <w:rFonts w:ascii="Arial" w:hAnsi="Arial"/>
          <w:b/>
          <w:lang w:eastAsia="ja-JP"/>
        </w:rPr>
        <w:t xml:space="preserve"> – 28</w:t>
      </w:r>
      <w:r>
        <w:rPr>
          <w:rFonts w:ascii="Arial" w:hAnsi="Arial"/>
          <w:b/>
          <w:vertAlign w:val="superscript"/>
          <w:lang w:eastAsia="ja-JP"/>
        </w:rPr>
        <w:t>th</w:t>
      </w:r>
      <w:r>
        <w:rPr>
          <w:rFonts w:ascii="Arial" w:hAnsi="Arial"/>
          <w:b/>
          <w:lang w:eastAsia="ja-JP"/>
        </w:rPr>
        <w:t xml:space="preserve">, </w:t>
      </w:r>
      <w:r>
        <w:rPr>
          <w:rFonts w:hint="eastAsia" w:ascii="Arial" w:hAnsi="Arial"/>
          <w:b/>
          <w:lang w:eastAsia="ja-JP"/>
        </w:rPr>
        <w:t xml:space="preserve"> 20</w:t>
      </w:r>
      <w:r>
        <w:rPr>
          <w:rFonts w:ascii="Arial" w:hAnsi="Arial"/>
          <w:b/>
          <w:lang w:eastAsia="ja-JP"/>
        </w:rPr>
        <w:t>20</w:t>
      </w:r>
    </w:p>
    <w:p>
      <w:pPr>
        <w:snapToGrid w:val="0"/>
        <w:spacing w:after="0" w:line="240" w:lineRule="auto"/>
        <w:rPr>
          <w:rFonts w:ascii="Arial" w:hAnsi="Arial" w:eastAsia="MS Mincho"/>
          <w:b/>
          <w:lang w:eastAsia="ja-JP"/>
        </w:rPr>
      </w:pPr>
      <w:r>
        <w:rPr>
          <w:rFonts w:hint="eastAsia" w:ascii="Arial" w:hAnsi="Arial" w:eastAsia="MS Mincho"/>
          <w:b/>
          <w:lang w:eastAsia="ja-JP"/>
        </w:rPr>
        <w:t>Source:              ZTE</w:t>
      </w:r>
    </w:p>
    <w:p>
      <w:pPr>
        <w:pStyle w:val="20"/>
        <w:tabs>
          <w:tab w:val="clear" w:pos="4536"/>
        </w:tabs>
        <w:snapToGrid w:val="0"/>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hint="eastAsia"/>
          <w:sz w:val="22"/>
          <w:szCs w:val="22"/>
        </w:rPr>
        <w:t>Discussion for NR SRS carrier switching on SUL</w:t>
      </w:r>
    </w:p>
    <w:p>
      <w:pPr>
        <w:pStyle w:val="20"/>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5.1</w:t>
      </w:r>
    </w:p>
    <w:p>
      <w:pPr>
        <w:pStyle w:val="20"/>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Style w:val="20"/>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pStyle w:val="2"/>
        <w:tabs>
          <w:tab w:val="clear" w:pos="432"/>
        </w:tabs>
        <w:snapToGrid w:val="0"/>
        <w:spacing w:before="120" w:beforeLines="50" w:after="120" w:afterLines="50"/>
        <w:ind w:left="431" w:hanging="431"/>
        <w:rPr>
          <w:sz w:val="28"/>
          <w:lang w:val="en-US"/>
        </w:rPr>
      </w:pPr>
      <w:r>
        <w:rPr>
          <w:sz w:val="28"/>
          <w:lang w:val="en-US"/>
        </w:rPr>
        <w:t>Introduction</w:t>
      </w:r>
    </w:p>
    <w:p>
      <w:pPr>
        <w:snapToGrid w:val="0"/>
        <w:spacing w:before="120" w:after="120" w:afterLines="50" w:line="240" w:lineRule="auto"/>
        <w:jc w:val="both"/>
        <w:rPr>
          <w:rFonts w:eastAsia="微软雅黑"/>
          <w:sz w:val="20"/>
          <w:szCs w:val="20"/>
        </w:rPr>
      </w:pPr>
      <w:r>
        <w:rPr>
          <w:rFonts w:eastAsia="微软雅黑"/>
          <w:sz w:val="20"/>
          <w:szCs w:val="20"/>
          <w:lang w:val="en-GB"/>
        </w:rPr>
        <w:t xml:space="preserve">In </w:t>
      </w:r>
      <w:r>
        <w:rPr>
          <w:rFonts w:hint="eastAsia" w:eastAsia="微软雅黑"/>
          <w:sz w:val="20"/>
          <w:szCs w:val="20"/>
        </w:rPr>
        <w:t xml:space="preserve">RAN2#110-e meeting, an LS </w:t>
      </w:r>
      <w:r>
        <w:rPr>
          <w:i w:val="0"/>
          <w:iCs/>
          <w:sz w:val="20"/>
          <w:szCs w:val="20"/>
        </w:rPr>
        <w:t>R1-2005209(</w:t>
      </w:r>
      <w:r>
        <w:rPr>
          <w:rFonts w:hint="eastAsia" w:eastAsia="微软雅黑"/>
          <w:sz w:val="20"/>
          <w:szCs w:val="20"/>
        </w:rPr>
        <w:t>R2-</w:t>
      </w:r>
      <w:r>
        <w:rPr>
          <w:rFonts w:hint="eastAsia" w:eastAsia="微软雅黑"/>
          <w:sz w:val="20"/>
          <w:szCs w:val="20"/>
          <w:lang w:val="sv-SE" w:eastAsia="ko-KR"/>
        </w:rPr>
        <w:t>2006362</w:t>
      </w:r>
      <w:r>
        <w:rPr>
          <w:rFonts w:eastAsia="微软雅黑"/>
          <w:sz w:val="20"/>
          <w:szCs w:val="20"/>
          <w:lang w:val="sv-SE" w:eastAsia="ko-KR"/>
        </w:rPr>
        <w:t>)</w:t>
      </w:r>
      <w:r>
        <w:rPr>
          <w:rFonts w:hint="eastAsia" w:eastAsia="微软雅黑"/>
          <w:sz w:val="20"/>
          <w:szCs w:val="20"/>
        </w:rPr>
        <w:t xml:space="preserve">[1] is sent to ask RAN1 whether the following two cases are allowed for NR Rel-15 SRS carrier switching as follows. </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pacing w:after="0" w:line="240" w:lineRule="auto"/>
              <w:rPr>
                <w:i/>
                <w:iCs/>
                <w:sz w:val="20"/>
                <w:szCs w:val="20"/>
              </w:rPr>
            </w:pPr>
            <w:r>
              <w:rPr>
                <w:rFonts w:hint="eastAsia"/>
                <w:i/>
                <w:iCs/>
                <w:sz w:val="20"/>
                <w:szCs w:val="20"/>
              </w:rPr>
              <w:t>D</w:t>
            </w:r>
            <w:r>
              <w:rPr>
                <w:i/>
                <w:iCs/>
                <w:sz w:val="20"/>
                <w:szCs w:val="20"/>
              </w:rPr>
              <w:t xml:space="preserve">uring the CR discussion, for typeA RAN2 didn’t achieve consensus on whether the following 2 cases on NR SRS carrier switching are allowed: </w:t>
            </w:r>
          </w:p>
          <w:p>
            <w:pPr>
              <w:pStyle w:val="117"/>
              <w:numPr>
                <w:ilvl w:val="0"/>
                <w:numId w:val="6"/>
              </w:numPr>
              <w:spacing w:after="0" w:line="240" w:lineRule="auto"/>
              <w:contextualSpacing w:val="0"/>
              <w:rPr>
                <w:i/>
                <w:iCs/>
                <w:sz w:val="20"/>
                <w:szCs w:val="20"/>
              </w:rPr>
            </w:pPr>
            <w:r>
              <w:rPr>
                <w:i/>
                <w:iCs/>
                <w:sz w:val="20"/>
                <w:szCs w:val="20"/>
              </w:rPr>
              <w:t>Case 1: SRS carrier switching to a SUL without PUCCH/PUSCH while PUCCH/PUSCH is configured in NUL;</w:t>
            </w:r>
          </w:p>
          <w:p>
            <w:pPr>
              <w:pStyle w:val="117"/>
              <w:numPr>
                <w:ilvl w:val="0"/>
                <w:numId w:val="6"/>
              </w:numPr>
              <w:spacing w:after="0" w:line="240" w:lineRule="auto"/>
              <w:rPr>
                <w:rFonts w:eastAsia="微软雅黑"/>
                <w:sz w:val="20"/>
                <w:szCs w:val="20"/>
              </w:rPr>
            </w:pPr>
            <w:r>
              <w:rPr>
                <w:i/>
                <w:iCs/>
                <w:sz w:val="20"/>
                <w:szCs w:val="20"/>
              </w:rPr>
              <w:t>Case 2: SRS carrier switching to both NUL and SUL, neither of which are configured with PUCCH/PUSCH.</w:t>
            </w:r>
          </w:p>
        </w:tc>
      </w:tr>
    </w:tbl>
    <w:p>
      <w:pPr>
        <w:snapToGrid w:val="0"/>
        <w:spacing w:before="120" w:after="120" w:afterLines="50" w:line="240" w:lineRule="auto"/>
        <w:jc w:val="both"/>
        <w:rPr>
          <w:rFonts w:eastAsia="微软雅黑"/>
          <w:sz w:val="20"/>
          <w:szCs w:val="20"/>
        </w:rPr>
      </w:pPr>
      <w:r>
        <w:rPr>
          <w:rFonts w:hint="eastAsia" w:eastAsia="微软雅黑"/>
          <w:sz w:val="20"/>
          <w:szCs w:val="20"/>
        </w:rPr>
        <w:t xml:space="preserve">In this contribution, we provide our analysis on these two cases. </w:t>
      </w:r>
    </w:p>
    <w:p>
      <w:pPr>
        <w:snapToGrid w:val="0"/>
        <w:spacing w:before="120" w:beforeLines="50" w:after="120" w:afterLines="50" w:line="240" w:lineRule="auto"/>
        <w:ind w:left="1000" w:hanging="1000" w:hangingChars="500"/>
        <w:jc w:val="both"/>
        <w:rPr>
          <w:rStyle w:val="34"/>
          <w:sz w:val="20"/>
          <w:szCs w:val="20"/>
        </w:rPr>
      </w:pPr>
    </w:p>
    <w:p>
      <w:pPr>
        <w:pStyle w:val="2"/>
        <w:snapToGrid w:val="0"/>
        <w:spacing w:before="120" w:beforeLines="50" w:after="120" w:afterLines="50"/>
        <w:ind w:left="431" w:hanging="431"/>
        <w:rPr>
          <w:sz w:val="28"/>
          <w:lang w:val="en-US"/>
        </w:rPr>
      </w:pPr>
      <w:r>
        <w:rPr>
          <w:sz w:val="28"/>
          <w:lang w:val="en-US"/>
        </w:rPr>
        <w:t>D</w:t>
      </w:r>
      <w:r>
        <w:rPr>
          <w:rFonts w:hint="eastAsia"/>
          <w:sz w:val="28"/>
          <w:lang w:val="en-US"/>
        </w:rPr>
        <w:t>iscussion</w:t>
      </w:r>
    </w:p>
    <w:p>
      <w:pPr>
        <w:widowControl w:val="0"/>
        <w:snapToGrid w:val="0"/>
        <w:spacing w:before="120" w:after="120" w:afterLines="50" w:line="240" w:lineRule="auto"/>
        <w:jc w:val="both"/>
        <w:rPr>
          <w:sz w:val="20"/>
          <w:szCs w:val="20"/>
        </w:rPr>
      </w:pPr>
      <w:r>
        <w:rPr>
          <w:rFonts w:hint="eastAsia"/>
          <w:sz w:val="20"/>
          <w:szCs w:val="20"/>
        </w:rPr>
        <w:t>In LTE Rel-14, SRS carrier switching is introduced to ac</w:t>
      </w:r>
      <w:r>
        <w:rPr>
          <w:sz w:val="20"/>
          <w:szCs w:val="20"/>
        </w:rPr>
        <w:t>quire</w:t>
      </w:r>
      <w:r>
        <w:rPr>
          <w:rFonts w:hint="eastAsia"/>
          <w:sz w:val="20"/>
          <w:szCs w:val="20"/>
        </w:rPr>
        <w:t xml:space="preserve"> DL CSI via DL/UL channel reciprocity in some </w:t>
      </w:r>
      <w:r>
        <w:rPr>
          <w:sz w:val="20"/>
          <w:szCs w:val="20"/>
        </w:rPr>
        <w:t>TDD carriers</w:t>
      </w:r>
      <w:r>
        <w:rPr>
          <w:rFonts w:hint="eastAsia"/>
          <w:sz w:val="20"/>
          <w:szCs w:val="20"/>
        </w:rPr>
        <w:t xml:space="preserve"> </w:t>
      </w:r>
      <w:r>
        <w:rPr>
          <w:sz w:val="20"/>
          <w:szCs w:val="20"/>
        </w:rPr>
        <w:t>configured</w:t>
      </w:r>
      <w:r>
        <w:rPr>
          <w:rFonts w:hint="eastAsia"/>
          <w:sz w:val="20"/>
          <w:szCs w:val="20"/>
        </w:rPr>
        <w:t xml:space="preserve"> only </w:t>
      </w:r>
      <w:r>
        <w:rPr>
          <w:sz w:val="20"/>
          <w:szCs w:val="20"/>
        </w:rPr>
        <w:t xml:space="preserve">for </w:t>
      </w:r>
      <w:r>
        <w:rPr>
          <w:rFonts w:hint="eastAsia"/>
          <w:sz w:val="20"/>
          <w:szCs w:val="20"/>
        </w:rPr>
        <w:t xml:space="preserve">DL </w:t>
      </w:r>
      <w:r>
        <w:rPr>
          <w:sz w:val="20"/>
          <w:szCs w:val="20"/>
        </w:rPr>
        <w:t>transmission</w:t>
      </w:r>
      <w:r>
        <w:rPr>
          <w:rFonts w:hint="eastAsia"/>
          <w:sz w:val="20"/>
          <w:szCs w:val="20"/>
        </w:rPr>
        <w:t xml:space="preserve">, i.e. CCs without PUCCH/PUSCH configured in TDD band(s).  </w:t>
      </w:r>
    </w:p>
    <w:p>
      <w:pPr>
        <w:widowControl w:val="0"/>
        <w:snapToGrid w:val="0"/>
        <w:spacing w:before="120" w:after="120" w:afterLines="50" w:line="240" w:lineRule="auto"/>
        <w:jc w:val="both"/>
        <w:rPr>
          <w:sz w:val="20"/>
          <w:szCs w:val="20"/>
        </w:rPr>
      </w:pPr>
      <w:r>
        <w:rPr>
          <w:rFonts w:hint="eastAsia"/>
          <w:sz w:val="20"/>
          <w:szCs w:val="20"/>
        </w:rPr>
        <w:t xml:space="preserve">In NR Rel-15, because of limited time, it was agreed to reuse </w:t>
      </w:r>
      <w:r>
        <w:rPr>
          <w:sz w:val="20"/>
          <w:szCs w:val="20"/>
        </w:rPr>
        <w:t>Rel-14 LTE SRS carrier-based switching design</w:t>
      </w:r>
      <w:r>
        <w:rPr>
          <w:rFonts w:hint="eastAsia"/>
          <w:sz w:val="20"/>
          <w:szCs w:val="20"/>
        </w:rPr>
        <w:t xml:space="preserve"> in RAN1#90bis meeting as shown in the following agreement. The motivation is the same as LTE, where SRS configured with antenna switching transmits in serving cells only </w:t>
      </w:r>
      <w:r>
        <w:rPr>
          <w:sz w:val="20"/>
          <w:szCs w:val="20"/>
        </w:rPr>
        <w:t>for</w:t>
      </w:r>
      <w:r>
        <w:rPr>
          <w:rFonts w:hint="eastAsia"/>
          <w:sz w:val="20"/>
          <w:szCs w:val="20"/>
        </w:rPr>
        <w:t xml:space="preserve"> DL </w:t>
      </w:r>
      <w:r>
        <w:rPr>
          <w:sz w:val="20"/>
          <w:szCs w:val="20"/>
        </w:rPr>
        <w:t>transmission in TDD band(s)</w:t>
      </w:r>
      <w:r>
        <w:rPr>
          <w:rFonts w:hint="eastAsia"/>
          <w:sz w:val="20"/>
          <w:szCs w:val="20"/>
        </w:rPr>
        <w:t xml:space="preserve">. Based on SRS carrier switching, gNB can </w:t>
      </w:r>
      <w:r>
        <w:rPr>
          <w:sz w:val="20"/>
          <w:szCs w:val="20"/>
        </w:rPr>
        <w:t>acquire</w:t>
      </w:r>
      <w:r>
        <w:rPr>
          <w:rFonts w:hint="eastAsia"/>
          <w:sz w:val="20"/>
          <w:szCs w:val="20"/>
        </w:rPr>
        <w:t xml:space="preserve"> DL CSI in each serving cell, and further derive precoders for DL data transmission. </w:t>
      </w:r>
    </w:p>
    <w:p>
      <w:pPr>
        <w:snapToGrid w:val="0"/>
        <w:spacing w:after="0" w:line="240" w:lineRule="auto"/>
        <w:rPr>
          <w:i/>
          <w:iCs/>
          <w:sz w:val="20"/>
          <w:szCs w:val="20"/>
          <w:u w:val="single"/>
        </w:rPr>
      </w:pPr>
      <w:r>
        <w:rPr>
          <w:i/>
          <w:iCs/>
          <w:sz w:val="20"/>
          <w:szCs w:val="20"/>
          <w:u w:val="single"/>
        </w:rPr>
        <w:t>Agreement</w:t>
      </w:r>
      <w:r>
        <w:rPr>
          <w:rFonts w:hint="eastAsia"/>
          <w:i/>
          <w:iCs/>
          <w:sz w:val="20"/>
          <w:szCs w:val="20"/>
          <w:u w:val="single"/>
        </w:rPr>
        <w:t xml:space="preserve"> in RAN1#90bis [2]</w:t>
      </w:r>
      <w:r>
        <w:rPr>
          <w:i/>
          <w:iCs/>
          <w:sz w:val="20"/>
          <w:szCs w:val="20"/>
          <w:u w:val="single"/>
        </w:rPr>
        <w:t>:</w:t>
      </w:r>
    </w:p>
    <w:p>
      <w:pPr>
        <w:pStyle w:val="77"/>
        <w:numPr>
          <w:ilvl w:val="0"/>
          <w:numId w:val="7"/>
        </w:numPr>
        <w:snapToGrid w:val="0"/>
        <w:spacing w:after="0" w:line="240" w:lineRule="auto"/>
        <w:rPr>
          <w:i/>
          <w:iCs/>
          <w:sz w:val="20"/>
          <w:szCs w:val="20"/>
        </w:rPr>
      </w:pPr>
      <w:r>
        <w:rPr>
          <w:i/>
          <w:iCs/>
          <w:sz w:val="20"/>
          <w:szCs w:val="20"/>
        </w:rPr>
        <w:t xml:space="preserve">Specify NR SRS switching among CCs similar to Rel-14 LTE SRS carrier-based switching design including </w:t>
      </w:r>
    </w:p>
    <w:p>
      <w:pPr>
        <w:pStyle w:val="67"/>
        <w:numPr>
          <w:ilvl w:val="1"/>
          <w:numId w:val="7"/>
        </w:numPr>
        <w:snapToGrid w:val="0"/>
        <w:spacing w:after="0" w:line="240" w:lineRule="auto"/>
        <w:rPr>
          <w:i/>
          <w:iCs/>
          <w:sz w:val="20"/>
        </w:rPr>
      </w:pPr>
      <w:r>
        <w:rPr>
          <w:i/>
          <w:iCs/>
          <w:sz w:val="20"/>
        </w:rPr>
        <w:t>Periodic/aperiodic/semi-persistent SRS on a CC without PUCCH/PUSCH configured</w:t>
      </w:r>
    </w:p>
    <w:p>
      <w:pPr>
        <w:pStyle w:val="67"/>
        <w:numPr>
          <w:ilvl w:val="1"/>
          <w:numId w:val="7"/>
        </w:numPr>
        <w:snapToGrid w:val="0"/>
        <w:spacing w:after="0" w:line="240" w:lineRule="auto"/>
        <w:rPr>
          <w:i/>
          <w:iCs/>
          <w:sz w:val="20"/>
        </w:rPr>
      </w:pPr>
      <w:r>
        <w:rPr>
          <w:i/>
          <w:iCs/>
          <w:sz w:val="20"/>
        </w:rPr>
        <w:t>TA (through PRACH) on TAG without PUSCH/PUCCH configured</w:t>
      </w:r>
    </w:p>
    <w:p>
      <w:pPr>
        <w:pStyle w:val="67"/>
        <w:numPr>
          <w:ilvl w:val="1"/>
          <w:numId w:val="7"/>
        </w:numPr>
        <w:snapToGrid w:val="0"/>
        <w:spacing w:after="0" w:line="240" w:lineRule="auto"/>
        <w:rPr>
          <w:i/>
          <w:iCs/>
          <w:sz w:val="20"/>
        </w:rPr>
      </w:pPr>
      <w:r>
        <w:rPr>
          <w:i/>
          <w:iCs/>
          <w:sz w:val="20"/>
        </w:rPr>
        <w:t>Power control separated from that of PUSCH</w:t>
      </w:r>
    </w:p>
    <w:p>
      <w:pPr>
        <w:pStyle w:val="67"/>
        <w:numPr>
          <w:ilvl w:val="1"/>
          <w:numId w:val="7"/>
        </w:numPr>
        <w:snapToGrid w:val="0"/>
        <w:spacing w:after="0" w:line="240" w:lineRule="auto"/>
        <w:rPr>
          <w:i/>
          <w:iCs/>
          <w:sz w:val="20"/>
        </w:rPr>
      </w:pPr>
      <w:r>
        <w:rPr>
          <w:i/>
          <w:iCs/>
          <w:sz w:val="20"/>
        </w:rPr>
        <w:t>Group common DCI for aperiodic SRS triggering and TPC</w:t>
      </w:r>
    </w:p>
    <w:p>
      <w:pPr>
        <w:pStyle w:val="67"/>
        <w:numPr>
          <w:ilvl w:val="1"/>
          <w:numId w:val="7"/>
        </w:numPr>
        <w:snapToGrid w:val="0"/>
        <w:spacing w:after="0" w:line="240" w:lineRule="auto"/>
        <w:rPr>
          <w:i/>
          <w:iCs/>
          <w:sz w:val="20"/>
        </w:rPr>
      </w:pPr>
      <w:r>
        <w:rPr>
          <w:i/>
          <w:iCs/>
          <w:sz w:val="20"/>
        </w:rPr>
        <w:t>DL/UL interruptions and collision handling due to SRS switching</w:t>
      </w:r>
    </w:p>
    <w:p>
      <w:pPr>
        <w:widowControl w:val="0"/>
        <w:snapToGrid w:val="0"/>
        <w:spacing w:before="120" w:after="120" w:afterLines="50" w:line="240" w:lineRule="auto"/>
        <w:jc w:val="both"/>
        <w:rPr>
          <w:sz w:val="20"/>
          <w:szCs w:val="20"/>
        </w:rPr>
      </w:pPr>
      <w:r>
        <w:rPr>
          <w:rFonts w:hint="eastAsia"/>
          <w:sz w:val="20"/>
          <w:szCs w:val="20"/>
        </w:rPr>
        <w:t xml:space="preserve">As shown in RAN1 specification 38.214 [4], the motivation of SRS antenna switching is for DL CSI acquisition as highlighted in the following box. For type A SRS carrier switching, SRS configured with usage </w:t>
      </w:r>
      <w:r>
        <w:rPr>
          <w:sz w:val="20"/>
          <w:szCs w:val="20"/>
        </w:rPr>
        <w:t>‘</w:t>
      </w:r>
      <w:r>
        <w:rPr>
          <w:rFonts w:hint="eastAsia"/>
          <w:sz w:val="20"/>
          <w:szCs w:val="20"/>
        </w:rPr>
        <w:t>antenna switching</w:t>
      </w:r>
      <w:r>
        <w:rPr>
          <w:sz w:val="20"/>
          <w:szCs w:val="20"/>
        </w:rPr>
        <w:t>’</w:t>
      </w:r>
      <w:r>
        <w:rPr>
          <w:rFonts w:hint="eastAsia"/>
          <w:sz w:val="20"/>
          <w:szCs w:val="20"/>
        </w:rPr>
        <w:t xml:space="preserve"> </w:t>
      </w:r>
      <w:r>
        <w:rPr>
          <w:sz w:val="20"/>
          <w:szCs w:val="20"/>
        </w:rPr>
        <w:t xml:space="preserve">is transmitted on each of the </w:t>
      </w:r>
      <w:r>
        <w:rPr>
          <w:rFonts w:hint="eastAsia"/>
          <w:sz w:val="20"/>
          <w:szCs w:val="20"/>
        </w:rPr>
        <w:t>CCs within a CC set, the DL CSI</w:t>
      </w:r>
      <w:r>
        <w:rPr>
          <w:sz w:val="20"/>
          <w:szCs w:val="20"/>
        </w:rPr>
        <w:t xml:space="preserve"> acquisition</w:t>
      </w:r>
      <w:r>
        <w:rPr>
          <w:rFonts w:hint="eastAsia"/>
          <w:sz w:val="20"/>
          <w:szCs w:val="20"/>
        </w:rPr>
        <w:t xml:space="preserve"> </w:t>
      </w:r>
      <w:r>
        <w:rPr>
          <w:sz w:val="20"/>
          <w:szCs w:val="20"/>
        </w:rPr>
        <w:t>for</w:t>
      </w:r>
      <w:r>
        <w:rPr>
          <w:rFonts w:hint="eastAsia"/>
          <w:sz w:val="20"/>
          <w:szCs w:val="20"/>
        </w:rPr>
        <w:t xml:space="preserve"> those CCs without PUCCH/PUSCH can be achieved.</w:t>
      </w:r>
    </w:p>
    <w:tbl>
      <w:tblPr>
        <w:tblStyle w:val="2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6" w:type="dxa"/>
          </w:tcPr>
          <w:p>
            <w:pPr>
              <w:pStyle w:val="5"/>
              <w:numPr>
                <w:ilvl w:val="0"/>
                <w:numId w:val="8"/>
              </w:numPr>
              <w:snapToGrid w:val="0"/>
              <w:spacing w:before="120" w:after="120" w:afterLines="50" w:line="240" w:lineRule="auto"/>
              <w:ind w:left="-289"/>
              <w:rPr>
                <w:rFonts w:ascii="Times New Roman" w:hAnsi="Times New Roman"/>
                <w:color w:val="000000"/>
                <w:sz w:val="20"/>
                <w:szCs w:val="20"/>
                <w:lang w:val="en-US"/>
              </w:rPr>
            </w:pPr>
            <w:bookmarkStart w:id="2" w:name="_Toc11352159"/>
            <w:bookmarkStart w:id="3" w:name="_Toc27299947"/>
            <w:bookmarkStart w:id="4" w:name="_Toc20318049"/>
            <w:bookmarkStart w:id="5" w:name="_Toc36117457"/>
            <w:r>
              <w:rPr>
                <w:rFonts w:hint="eastAsia" w:ascii="Times New Roman" w:hAnsi="Times New Roman"/>
                <w:color w:val="000000"/>
                <w:sz w:val="20"/>
                <w:szCs w:val="20"/>
                <w:lang w:val="en-US"/>
              </w:rPr>
              <w:t xml:space="preserve">            6.2.1.2 </w:t>
            </w:r>
            <w:r>
              <w:rPr>
                <w:rFonts w:ascii="Times New Roman" w:hAnsi="Times New Roman"/>
                <w:color w:val="000000"/>
                <w:sz w:val="20"/>
                <w:szCs w:val="20"/>
                <w:lang w:val="en-US"/>
              </w:rPr>
              <w:t xml:space="preserve">UE </w:t>
            </w:r>
            <w:r>
              <w:rPr>
                <w:rFonts w:ascii="Times New Roman" w:hAnsi="Times New Roman"/>
                <w:color w:val="000000"/>
                <w:sz w:val="20"/>
                <w:szCs w:val="20"/>
                <w:lang w:val="en-GB"/>
              </w:rPr>
              <w:t xml:space="preserve">sounding procedure for </w:t>
            </w:r>
            <w:r>
              <w:rPr>
                <w:rFonts w:ascii="Times New Roman" w:hAnsi="Times New Roman"/>
                <w:color w:val="000000"/>
                <w:sz w:val="20"/>
                <w:szCs w:val="20"/>
                <w:highlight w:val="yellow"/>
                <w:lang w:val="en-GB"/>
              </w:rPr>
              <w:t>DL CSI acquisition</w:t>
            </w:r>
            <w:bookmarkEnd w:id="2"/>
            <w:bookmarkEnd w:id="3"/>
            <w:bookmarkEnd w:id="4"/>
            <w:bookmarkEnd w:id="5"/>
          </w:p>
          <w:p>
            <w:pPr>
              <w:widowControl w:val="0"/>
              <w:snapToGrid w:val="0"/>
              <w:spacing w:before="120" w:after="120" w:afterLines="50" w:line="240" w:lineRule="auto"/>
              <w:jc w:val="both"/>
              <w:rPr>
                <w:color w:val="000000"/>
                <w:sz w:val="20"/>
                <w:szCs w:val="20"/>
              </w:rPr>
            </w:pPr>
            <w:r>
              <w:rPr>
                <w:color w:val="000000"/>
                <w:sz w:val="20"/>
                <w:szCs w:val="20"/>
              </w:rPr>
              <w:t xml:space="preserve">When the UE is configured with the higher layer parameter </w:t>
            </w:r>
            <w:r>
              <w:rPr>
                <w:i/>
                <w:color w:val="000000"/>
                <w:sz w:val="20"/>
                <w:szCs w:val="20"/>
              </w:rPr>
              <w:t>usage</w:t>
            </w:r>
            <w:r>
              <w:rPr>
                <w:color w:val="000000"/>
                <w:sz w:val="20"/>
                <w:szCs w:val="20"/>
              </w:rPr>
              <w:t xml:space="preserve"> in </w:t>
            </w:r>
            <w:r>
              <w:rPr>
                <w:i/>
                <w:color w:val="000000"/>
                <w:sz w:val="20"/>
                <w:szCs w:val="20"/>
              </w:rPr>
              <w:t xml:space="preserve">SRS-ResourceSet </w:t>
            </w:r>
            <w:r>
              <w:rPr>
                <w:color w:val="000000"/>
                <w:sz w:val="20"/>
                <w:szCs w:val="20"/>
              </w:rPr>
              <w:t>set as 'antennaSwitching',</w:t>
            </w:r>
          </w:p>
          <w:p>
            <w:pPr>
              <w:widowControl w:val="0"/>
              <w:snapToGrid w:val="0"/>
              <w:spacing w:before="120" w:after="120" w:afterLines="50" w:line="240" w:lineRule="auto"/>
              <w:jc w:val="both"/>
              <w:rPr>
                <w:color w:val="000000"/>
                <w:sz w:val="20"/>
                <w:szCs w:val="20"/>
              </w:rPr>
            </w:pPr>
            <w:r>
              <w:rPr>
                <w:rFonts w:hint="eastAsia"/>
                <w:color w:val="000000"/>
                <w:sz w:val="20"/>
                <w:szCs w:val="20"/>
              </w:rPr>
              <w:t>...</w:t>
            </w:r>
          </w:p>
          <w:p>
            <w:pPr>
              <w:pStyle w:val="5"/>
              <w:numPr>
                <w:ilvl w:val="0"/>
                <w:numId w:val="8"/>
              </w:numPr>
              <w:spacing w:after="0"/>
              <w:ind w:left="-289"/>
              <w:rPr>
                <w:color w:val="000000"/>
                <w:sz w:val="20"/>
                <w:szCs w:val="20"/>
                <w:lang w:val="en-US"/>
              </w:rPr>
            </w:pPr>
            <w:bookmarkStart w:id="6" w:name="_Toc11352160"/>
            <w:bookmarkStart w:id="7" w:name="_Toc27299948"/>
            <w:bookmarkStart w:id="8" w:name="_Toc20318050"/>
            <w:bookmarkStart w:id="9" w:name="_Toc36117458"/>
            <w:r>
              <w:rPr>
                <w:rFonts w:hint="eastAsia"/>
                <w:color w:val="000000"/>
                <w:sz w:val="20"/>
                <w:szCs w:val="20"/>
                <w:lang w:val="en-US"/>
              </w:rPr>
              <w:t xml:space="preserve">   </w:t>
            </w:r>
            <w:r>
              <w:rPr>
                <w:rFonts w:hint="eastAsia" w:ascii="Times New Roman" w:hAnsi="Times New Roman"/>
                <w:color w:val="000000"/>
                <w:sz w:val="20"/>
                <w:szCs w:val="20"/>
                <w:lang w:val="en-US"/>
              </w:rPr>
              <w:t xml:space="preserve">      6.2.1.3 UE sounding procedure between component carriers</w:t>
            </w:r>
            <w:bookmarkEnd w:id="6"/>
            <w:bookmarkEnd w:id="7"/>
            <w:bookmarkEnd w:id="8"/>
            <w:bookmarkEnd w:id="9"/>
          </w:p>
          <w:p>
            <w:pPr>
              <w:rPr>
                <w:color w:val="000000"/>
                <w:sz w:val="20"/>
                <w:szCs w:val="20"/>
              </w:rPr>
            </w:pPr>
            <w:r>
              <w:rPr>
                <w:color w:val="000000"/>
                <w:sz w:val="20"/>
                <w:szCs w:val="20"/>
              </w:rPr>
              <w:t xml:space="preserve">For a carrier of a serving cell </w:t>
            </w:r>
            <w:r>
              <w:rPr>
                <w:color w:val="000000"/>
                <w:sz w:val="20"/>
                <w:szCs w:val="20"/>
                <w:highlight w:val="yellow"/>
              </w:rPr>
              <w:t>with slot formats comprised of DL and UL symbols</w:t>
            </w:r>
            <w:r>
              <w:rPr>
                <w:color w:val="000000"/>
                <w:sz w:val="20"/>
                <w:szCs w:val="20"/>
              </w:rPr>
              <w:t>, not configured for PUSCH/PUCCH transmission, ….</w:t>
            </w:r>
          </w:p>
          <w:p>
            <w:pPr>
              <w:rPr>
                <w:color w:val="000000"/>
                <w:sz w:val="20"/>
                <w:szCs w:val="20"/>
              </w:rPr>
            </w:pPr>
            <w:r>
              <w:rPr>
                <w:rFonts w:hint="eastAsia"/>
                <w:color w:val="000000"/>
                <w:sz w:val="20"/>
                <w:szCs w:val="20"/>
              </w:rPr>
              <w:t>...</w:t>
            </w:r>
          </w:p>
          <w:p>
            <w:pPr>
              <w:rPr>
                <w:color w:val="000000"/>
                <w:sz w:val="20"/>
                <w:szCs w:val="20"/>
              </w:rPr>
            </w:pPr>
            <w:r>
              <w:rPr>
                <w:color w:val="000000"/>
                <w:sz w:val="20"/>
                <w:szCs w:val="20"/>
              </w:rPr>
              <w:t xml:space="preserve">For an aperiodic SRS triggered in DCI format 2_3 and if the UE is configured with higher layer parameter </w:t>
            </w:r>
            <w:r>
              <w:rPr>
                <w:i/>
                <w:sz w:val="20"/>
                <w:szCs w:val="20"/>
              </w:rPr>
              <w:t>srs-TPC-PDCCH-Group</w:t>
            </w:r>
            <w:r>
              <w:rPr>
                <w:color w:val="000000"/>
                <w:sz w:val="20"/>
                <w:szCs w:val="20"/>
              </w:rPr>
              <w:t xml:space="preserve"> set to </w:t>
            </w:r>
            <w:r>
              <w:rPr>
                <w:color w:val="000000"/>
                <w:sz w:val="20"/>
                <w:szCs w:val="20"/>
                <w:highlight w:val="yellow"/>
              </w:rPr>
              <w:t>'typeA</w:t>
            </w:r>
            <w:r>
              <w:rPr>
                <w:color w:val="000000"/>
                <w:sz w:val="20"/>
                <w:szCs w:val="20"/>
              </w:rPr>
              <w:t xml:space="preserve">', and given by </w:t>
            </w:r>
            <w:r>
              <w:rPr>
                <w:i/>
                <w:sz w:val="20"/>
                <w:szCs w:val="20"/>
              </w:rPr>
              <w:t>SRS-CarrierSwitching,</w:t>
            </w:r>
            <w:r>
              <w:rPr>
                <w:color w:val="000000"/>
                <w:sz w:val="20"/>
                <w:szCs w:val="20"/>
              </w:rPr>
              <w:t xml:space="preserve"> without PUSCH/PUCCH transmission, the order of the triggered SRS transmission on the serving cells follow the order of the serving cells in the indicated set of serving cells configured by higher layers,</w:t>
            </w:r>
            <w:r>
              <w:rPr>
                <w:sz w:val="20"/>
                <w:szCs w:val="20"/>
              </w:rPr>
              <w:t xml:space="preserve"> </w:t>
            </w:r>
            <w:r>
              <w:rPr>
                <w:color w:val="000000"/>
                <w:sz w:val="20"/>
                <w:szCs w:val="20"/>
              </w:rPr>
              <w:t xml:space="preserve">where the UE in each serving cell transmits the configured one or two SRS resource set(s) with higher layer parameter </w:t>
            </w:r>
            <w:r>
              <w:rPr>
                <w:i/>
                <w:color w:val="000000"/>
                <w:sz w:val="20"/>
                <w:szCs w:val="20"/>
              </w:rPr>
              <w:t>usage</w:t>
            </w:r>
            <w:r>
              <w:rPr>
                <w:color w:val="000000"/>
                <w:sz w:val="20"/>
                <w:szCs w:val="20"/>
              </w:rPr>
              <w:t xml:space="preserve"> </w:t>
            </w:r>
            <w:r>
              <w:rPr>
                <w:color w:val="000000"/>
                <w:sz w:val="20"/>
                <w:szCs w:val="20"/>
                <w:highlight w:val="yellow"/>
              </w:rPr>
              <w:t xml:space="preserve">set to 'antennaSwitching' </w:t>
            </w:r>
            <w:r>
              <w:rPr>
                <w:color w:val="000000"/>
                <w:sz w:val="20"/>
                <w:szCs w:val="20"/>
              </w:rPr>
              <w:t xml:space="preserve">and higher layer parameter </w:t>
            </w:r>
            <w:r>
              <w:rPr>
                <w:i/>
                <w:color w:val="000000"/>
                <w:sz w:val="20"/>
                <w:szCs w:val="20"/>
              </w:rPr>
              <w:t>resourceType</w:t>
            </w:r>
            <w:r>
              <w:rPr>
                <w:color w:val="000000"/>
                <w:sz w:val="20"/>
                <w:szCs w:val="20"/>
              </w:rPr>
              <w:t xml:space="preserve"> in </w:t>
            </w:r>
            <w:r>
              <w:rPr>
                <w:i/>
                <w:color w:val="000000"/>
                <w:sz w:val="20"/>
                <w:szCs w:val="20"/>
              </w:rPr>
              <w:t>SRS-ResourceSet</w:t>
            </w:r>
            <w:r>
              <w:rPr>
                <w:color w:val="000000"/>
                <w:sz w:val="20"/>
                <w:szCs w:val="20"/>
              </w:rPr>
              <w:t xml:space="preserve"> set to 'aperiodic'</w:t>
            </w:r>
            <w:r>
              <w:rPr>
                <w:color w:val="000000"/>
              </w:rPr>
              <w:t xml:space="preserve">. </w:t>
            </w:r>
          </w:p>
          <w:p>
            <w:pPr>
              <w:widowControl w:val="0"/>
              <w:snapToGrid w:val="0"/>
              <w:spacing w:before="120" w:after="120" w:afterLines="50" w:line="240" w:lineRule="auto"/>
              <w:jc w:val="both"/>
              <w:rPr>
                <w:sz w:val="20"/>
                <w:szCs w:val="20"/>
              </w:rPr>
            </w:pPr>
          </w:p>
        </w:tc>
      </w:tr>
    </w:tbl>
    <w:p>
      <w:pPr>
        <w:widowControl w:val="0"/>
        <w:snapToGrid w:val="0"/>
        <w:spacing w:before="120" w:after="120" w:afterLines="50" w:line="240" w:lineRule="auto"/>
        <w:jc w:val="both"/>
        <w:rPr>
          <w:sz w:val="20"/>
          <w:szCs w:val="20"/>
        </w:rPr>
      </w:pPr>
    </w:p>
    <w:p>
      <w:pPr>
        <w:widowControl w:val="0"/>
        <w:snapToGrid w:val="0"/>
        <w:spacing w:before="120" w:after="120" w:afterLines="50" w:line="240" w:lineRule="auto"/>
        <w:jc w:val="both"/>
        <w:rPr>
          <w:i/>
          <w:iCs/>
          <w:sz w:val="20"/>
          <w:szCs w:val="20"/>
        </w:rPr>
      </w:pPr>
      <w:r>
        <w:rPr>
          <w:rFonts w:hint="eastAsia"/>
          <w:b/>
          <w:bCs/>
          <w:i/>
          <w:iCs/>
          <w:sz w:val="20"/>
          <w:szCs w:val="20"/>
        </w:rPr>
        <w:t>Observation1:</w:t>
      </w:r>
      <w:r>
        <w:rPr>
          <w:rFonts w:hint="eastAsia"/>
          <w:i/>
          <w:iCs/>
          <w:sz w:val="20"/>
          <w:szCs w:val="20"/>
        </w:rPr>
        <w:t xml:space="preserve"> For type A, NR SRS carrier switching is for DL CSI acquisition for a set of </w:t>
      </w:r>
      <w:r>
        <w:rPr>
          <w:i/>
          <w:iCs/>
          <w:sz w:val="20"/>
          <w:szCs w:val="20"/>
        </w:rPr>
        <w:t xml:space="preserve">TDD </w:t>
      </w:r>
      <w:r>
        <w:rPr>
          <w:rFonts w:hint="eastAsia"/>
          <w:i/>
          <w:iCs/>
          <w:sz w:val="20"/>
          <w:szCs w:val="20"/>
        </w:rPr>
        <w:t>serving cells without configured PUSCH/PUCCH.</w:t>
      </w:r>
    </w:p>
    <w:p>
      <w:pPr>
        <w:widowControl w:val="0"/>
        <w:snapToGrid w:val="0"/>
        <w:spacing w:before="120" w:after="120" w:afterLines="50" w:line="240" w:lineRule="auto"/>
        <w:jc w:val="both"/>
        <w:rPr>
          <w:rFonts w:hint="eastAsia"/>
          <w:sz w:val="20"/>
          <w:szCs w:val="20"/>
        </w:rPr>
      </w:pPr>
    </w:p>
    <w:p>
      <w:pPr>
        <w:widowControl w:val="0"/>
        <w:snapToGrid w:val="0"/>
        <w:spacing w:before="120" w:after="120" w:afterLines="50" w:line="240" w:lineRule="auto"/>
        <w:jc w:val="both"/>
        <w:rPr>
          <w:sz w:val="20"/>
          <w:szCs w:val="20"/>
        </w:rPr>
      </w:pPr>
      <w:r>
        <w:rPr>
          <w:rFonts w:hint="eastAsia"/>
          <w:sz w:val="20"/>
          <w:szCs w:val="20"/>
        </w:rPr>
        <w:t>I</w:t>
      </w:r>
      <w:r>
        <w:rPr>
          <w:sz w:val="20"/>
          <w:szCs w:val="20"/>
        </w:rPr>
        <w:t xml:space="preserve">n addition, the wording “with slot formats comprised of DL and UL symbols” means that this feature should be only applicable to TDD carriers.  However, a SUL carrier, which can be configured in a serving cell, is neither a TDD carrier nor a FDD carrier.  Instead, it is a new duplex mode introduced in NR Rel-15 as shown in Table 5.2-1 in TS38.101-1[3] as below.  In Rel-15, all the defined SUL bands overlap with FDD UL bands.  In Rel-16, it starts to have a new SUL band overlapping with a TDD band.  Regardless whether it overlaps with a TDD or FDD band, it does not have the corresponding downlink operating band i.e. N/A in the table.    At least in UE perspective, it does not have the corresponding DL symbols in any SUL carrier configured to the UE.    </w:t>
      </w:r>
      <w:r>
        <w:rPr>
          <w:rFonts w:hint="eastAsia"/>
          <w:sz w:val="20"/>
          <w:szCs w:val="20"/>
        </w:rPr>
        <w:t xml:space="preserve"> Consequently, it is an invalid case to support SRS carrier switching in SUL carrier for DL CSI acquisition. </w:t>
      </w:r>
    </w:p>
    <w:p>
      <w:pPr>
        <w:pStyle w:val="40"/>
        <w:rPr>
          <w:lang w:val="en-US" w:eastAsia="zh-CN"/>
        </w:rPr>
      </w:pPr>
      <w:r>
        <w:t>Table 5.2-1</w:t>
      </w:r>
      <w:r>
        <w:rPr>
          <w:rFonts w:hint="eastAsia"/>
          <w:lang w:val="en-US" w:eastAsia="zh-CN"/>
        </w:rPr>
        <w:t xml:space="preserve"> in [3]</w:t>
      </w:r>
      <w:r>
        <w:t>: NR operating bands in FR1</w:t>
      </w:r>
      <w:r>
        <w:rPr>
          <w:rFonts w:hint="eastAsia"/>
          <w:lang w:val="en-US" w:eastAsia="zh-CN"/>
        </w:rPr>
        <w:t xml:space="preserve"> </w:t>
      </w:r>
    </w:p>
    <w:tbl>
      <w:tblPr>
        <w:tblStyle w:val="25"/>
        <w:tblW w:w="7737" w:type="dxa"/>
        <w:jc w:val="center"/>
        <w:tblInd w:w="0" w:type="dxa"/>
        <w:tblLayout w:type="fixed"/>
        <w:tblCellMar>
          <w:top w:w="0" w:type="dxa"/>
          <w:left w:w="108" w:type="dxa"/>
          <w:bottom w:w="0" w:type="dxa"/>
          <w:right w:w="108" w:type="dxa"/>
        </w:tblCellMar>
      </w:tblPr>
      <w:tblGrid>
        <w:gridCol w:w="1161"/>
        <w:gridCol w:w="2715"/>
        <w:gridCol w:w="2953"/>
        <w:gridCol w:w="908"/>
      </w:tblGrid>
      <w:tr>
        <w:tblPrEx>
          <w:tblLayout w:type="fixed"/>
        </w:tblPrEx>
        <w:trPr>
          <w:jc w:val="center"/>
        </w:trPr>
        <w:tc>
          <w:tcPr>
            <w:tcW w:w="1161" w:type="dxa"/>
            <w:tcBorders>
              <w:top w:val="single" w:color="auto" w:sz="4" w:space="0"/>
              <w:left w:val="single" w:color="auto" w:sz="4" w:space="0"/>
              <w:bottom w:val="nil"/>
              <w:right w:val="single" w:color="auto" w:sz="4" w:space="0"/>
            </w:tcBorders>
          </w:tcPr>
          <w:p>
            <w:pPr>
              <w:pStyle w:val="65"/>
            </w:pPr>
            <w:r>
              <w:t>NR operating band</w:t>
            </w:r>
          </w:p>
        </w:tc>
        <w:tc>
          <w:tcPr>
            <w:tcW w:w="2715" w:type="dxa"/>
            <w:tcBorders>
              <w:top w:val="single" w:color="auto" w:sz="4" w:space="0"/>
              <w:left w:val="single" w:color="auto" w:sz="4" w:space="0"/>
              <w:bottom w:val="single" w:color="auto" w:sz="4" w:space="0"/>
              <w:right w:val="single" w:color="auto" w:sz="4" w:space="0"/>
            </w:tcBorders>
          </w:tcPr>
          <w:p>
            <w:pPr>
              <w:pStyle w:val="65"/>
            </w:pPr>
            <w:r>
              <w:rPr>
                <w:highlight w:val="yellow"/>
              </w:rPr>
              <w:t xml:space="preserve">Uplink (UL) </w:t>
            </w:r>
            <w:r>
              <w:rPr>
                <w:i/>
                <w:highlight w:val="yellow"/>
              </w:rPr>
              <w:t>operating band</w:t>
            </w:r>
            <w:r>
              <w:br w:type="textWrapping"/>
            </w:r>
            <w:r>
              <w:t>BS receive / UE transmit</w:t>
            </w:r>
          </w:p>
          <w:p>
            <w:pPr>
              <w:pStyle w:val="65"/>
              <w:rPr>
                <w:vertAlign w:val="subscript"/>
              </w:rPr>
            </w:pPr>
            <w:r>
              <w:t>F</w:t>
            </w:r>
            <w:r>
              <w:rPr>
                <w:vertAlign w:val="subscript"/>
              </w:rPr>
              <w:t xml:space="preserve">UL_low </w:t>
            </w:r>
            <w:r>
              <w:t xml:space="preserve">  –  F</w:t>
            </w:r>
            <w:r>
              <w:rPr>
                <w:vertAlign w:val="subscript"/>
              </w:rPr>
              <w:t>UL_high</w:t>
            </w:r>
          </w:p>
          <w:p>
            <w:pPr>
              <w:pStyle w:val="65"/>
            </w:pPr>
          </w:p>
        </w:tc>
        <w:tc>
          <w:tcPr>
            <w:tcW w:w="2953" w:type="dxa"/>
            <w:tcBorders>
              <w:top w:val="single" w:color="auto" w:sz="4" w:space="0"/>
              <w:left w:val="single" w:color="auto" w:sz="4" w:space="0"/>
              <w:bottom w:val="single" w:color="auto" w:sz="4" w:space="0"/>
              <w:right w:val="single" w:color="auto" w:sz="4" w:space="0"/>
            </w:tcBorders>
          </w:tcPr>
          <w:p>
            <w:pPr>
              <w:pStyle w:val="65"/>
            </w:pPr>
            <w:r>
              <w:rPr>
                <w:highlight w:val="yellow"/>
              </w:rPr>
              <w:t xml:space="preserve">Downlink (DL) </w:t>
            </w:r>
            <w:r>
              <w:rPr>
                <w:i/>
                <w:highlight w:val="yellow"/>
              </w:rPr>
              <w:t>operating band</w:t>
            </w:r>
            <w:r>
              <w:br w:type="textWrapping"/>
            </w:r>
            <w:r>
              <w:t>BS transmit / UE receive</w:t>
            </w:r>
          </w:p>
          <w:p>
            <w:pPr>
              <w:pStyle w:val="65"/>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65"/>
            </w:pPr>
            <w:r>
              <w:t>Duplex Mode</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n1</w:t>
            </w:r>
          </w:p>
        </w:tc>
        <w:tc>
          <w:tcPr>
            <w:tcW w:w="2715" w:type="dxa"/>
            <w:tcBorders>
              <w:top w:val="single" w:color="auto" w:sz="4" w:space="0"/>
              <w:left w:val="single" w:color="auto" w:sz="4" w:space="0"/>
              <w:bottom w:val="single" w:color="auto" w:sz="4" w:space="0"/>
              <w:right w:val="single" w:color="auto" w:sz="4" w:space="0"/>
            </w:tcBorders>
          </w:tcPr>
          <w:p>
            <w:pPr>
              <w:pStyle w:val="42"/>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42"/>
            </w:pPr>
            <w:r>
              <w:t>2110 MHz – 2170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n2</w:t>
            </w:r>
          </w:p>
        </w:tc>
        <w:tc>
          <w:tcPr>
            <w:tcW w:w="2715" w:type="dxa"/>
            <w:tcBorders>
              <w:top w:val="single" w:color="auto" w:sz="4" w:space="0"/>
              <w:left w:val="single" w:color="auto" w:sz="4" w:space="0"/>
              <w:bottom w:val="single" w:color="auto" w:sz="4" w:space="0"/>
              <w:right w:val="single" w:color="auto" w:sz="4" w:space="0"/>
            </w:tcBorders>
          </w:tcPr>
          <w:p>
            <w:pPr>
              <w:pStyle w:val="42"/>
            </w:pPr>
            <w: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42"/>
            </w:pPr>
            <w:r>
              <w:t>1930 MHz – 1990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n3</w:t>
            </w:r>
          </w:p>
        </w:tc>
        <w:tc>
          <w:tcPr>
            <w:tcW w:w="2715" w:type="dxa"/>
            <w:tcBorders>
              <w:top w:val="single" w:color="auto" w:sz="4" w:space="0"/>
              <w:left w:val="single" w:color="auto" w:sz="4" w:space="0"/>
              <w:bottom w:val="single" w:color="auto" w:sz="4" w:space="0"/>
              <w:right w:val="single" w:color="auto" w:sz="4" w:space="0"/>
            </w:tcBorders>
          </w:tcPr>
          <w:p>
            <w:pPr>
              <w:pStyle w:val="42"/>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42"/>
            </w:pPr>
            <w:r>
              <w:t>1805 MHz – 1880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n5</w:t>
            </w:r>
          </w:p>
        </w:tc>
        <w:tc>
          <w:tcPr>
            <w:tcW w:w="2715" w:type="dxa"/>
            <w:tcBorders>
              <w:top w:val="single" w:color="auto" w:sz="4" w:space="0"/>
              <w:left w:val="single" w:color="auto" w:sz="4" w:space="0"/>
              <w:bottom w:val="single" w:color="auto" w:sz="4" w:space="0"/>
              <w:right w:val="single" w:color="auto" w:sz="4" w:space="0"/>
            </w:tcBorders>
          </w:tcPr>
          <w:p>
            <w:pPr>
              <w:pStyle w:val="42"/>
            </w:pPr>
            <w:r>
              <w:t>824 MHz – 849 MHz</w:t>
            </w:r>
          </w:p>
        </w:tc>
        <w:tc>
          <w:tcPr>
            <w:tcW w:w="2953" w:type="dxa"/>
            <w:tcBorders>
              <w:top w:val="single" w:color="auto" w:sz="4" w:space="0"/>
              <w:left w:val="single" w:color="auto" w:sz="4" w:space="0"/>
              <w:bottom w:val="single" w:color="auto" w:sz="4" w:space="0"/>
              <w:right w:val="single" w:color="auto" w:sz="4" w:space="0"/>
            </w:tcBorders>
          </w:tcPr>
          <w:p>
            <w:pPr>
              <w:pStyle w:val="42"/>
            </w:pPr>
            <w:r>
              <w:t>869 MHz – 894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w:t>
            </w:r>
          </w:p>
        </w:tc>
        <w:tc>
          <w:tcPr>
            <w:tcW w:w="2715" w:type="dxa"/>
            <w:tcBorders>
              <w:top w:val="single" w:color="auto" w:sz="4" w:space="0"/>
              <w:left w:val="single" w:color="auto" w:sz="4" w:space="0"/>
              <w:bottom w:val="single" w:color="auto" w:sz="4" w:space="0"/>
              <w:right w:val="single" w:color="auto" w:sz="4" w:space="0"/>
            </w:tcBorders>
          </w:tcPr>
          <w:p>
            <w:pPr>
              <w:pStyle w:val="42"/>
            </w:pPr>
            <w: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42"/>
            </w:pPr>
            <w:r>
              <w:t>2620 MHz – 2690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n8</w:t>
            </w:r>
          </w:p>
        </w:tc>
        <w:tc>
          <w:tcPr>
            <w:tcW w:w="2715" w:type="dxa"/>
            <w:tcBorders>
              <w:top w:val="single" w:color="auto" w:sz="4" w:space="0"/>
              <w:left w:val="single" w:color="auto" w:sz="4" w:space="0"/>
              <w:bottom w:val="single" w:color="auto" w:sz="4" w:space="0"/>
              <w:right w:val="single" w:color="auto" w:sz="4" w:space="0"/>
            </w:tcBorders>
          </w:tcPr>
          <w:p>
            <w:pPr>
              <w:pStyle w:val="42"/>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42"/>
            </w:pPr>
            <w:r>
              <w:t>925 MHz – 960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n12</w:t>
            </w:r>
          </w:p>
        </w:tc>
        <w:tc>
          <w:tcPr>
            <w:tcW w:w="2715" w:type="dxa"/>
            <w:tcBorders>
              <w:top w:val="single" w:color="auto" w:sz="4" w:space="0"/>
              <w:left w:val="single" w:color="auto" w:sz="4" w:space="0"/>
              <w:bottom w:val="single" w:color="auto" w:sz="4" w:space="0"/>
              <w:right w:val="single" w:color="auto" w:sz="4" w:space="0"/>
            </w:tcBorders>
          </w:tcPr>
          <w:p>
            <w:pPr>
              <w:pStyle w:val="42"/>
            </w:pPr>
            <w:r>
              <w:t>699 MHz – 716 MHz</w:t>
            </w:r>
          </w:p>
        </w:tc>
        <w:tc>
          <w:tcPr>
            <w:tcW w:w="2953" w:type="dxa"/>
            <w:tcBorders>
              <w:top w:val="single" w:color="auto" w:sz="4" w:space="0"/>
              <w:left w:val="single" w:color="auto" w:sz="4" w:space="0"/>
              <w:bottom w:val="single" w:color="auto" w:sz="4" w:space="0"/>
              <w:right w:val="single" w:color="auto" w:sz="4" w:space="0"/>
            </w:tcBorders>
          </w:tcPr>
          <w:p>
            <w:pPr>
              <w:pStyle w:val="42"/>
            </w:pPr>
            <w:r>
              <w:t>729 MHz – 746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n20</w:t>
            </w:r>
          </w:p>
        </w:tc>
        <w:tc>
          <w:tcPr>
            <w:tcW w:w="2715" w:type="dxa"/>
            <w:tcBorders>
              <w:top w:val="single" w:color="auto" w:sz="4" w:space="0"/>
              <w:left w:val="single" w:color="auto" w:sz="4" w:space="0"/>
              <w:bottom w:val="single" w:color="auto" w:sz="4" w:space="0"/>
              <w:right w:val="single" w:color="auto" w:sz="4" w:space="0"/>
            </w:tcBorders>
          </w:tcPr>
          <w:p>
            <w:pPr>
              <w:pStyle w:val="42"/>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42"/>
            </w:pPr>
            <w:r>
              <w:t>791 MHz – 821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n25</w:t>
            </w:r>
          </w:p>
        </w:tc>
        <w:tc>
          <w:tcPr>
            <w:tcW w:w="2715" w:type="dxa"/>
            <w:tcBorders>
              <w:top w:val="single" w:color="auto" w:sz="4" w:space="0"/>
              <w:left w:val="single" w:color="auto" w:sz="4" w:space="0"/>
              <w:bottom w:val="single" w:color="auto" w:sz="4" w:space="0"/>
              <w:right w:val="single" w:color="auto" w:sz="4" w:space="0"/>
            </w:tcBorders>
          </w:tcPr>
          <w:p>
            <w:pPr>
              <w:pStyle w:val="42"/>
            </w:pPr>
            <w: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42"/>
            </w:pPr>
            <w:r>
              <w:t>1930 MHz – 1995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n28</w:t>
            </w:r>
          </w:p>
        </w:tc>
        <w:tc>
          <w:tcPr>
            <w:tcW w:w="2715" w:type="dxa"/>
            <w:tcBorders>
              <w:top w:val="single" w:color="auto" w:sz="4" w:space="0"/>
              <w:left w:val="single" w:color="auto" w:sz="4" w:space="0"/>
              <w:bottom w:val="single" w:color="auto" w:sz="4" w:space="0"/>
              <w:right w:val="single" w:color="auto" w:sz="4" w:space="0"/>
            </w:tcBorders>
          </w:tcPr>
          <w:p>
            <w:pPr>
              <w:pStyle w:val="42"/>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42"/>
            </w:pPr>
            <w:r>
              <w:t>758 MHz – 803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n34</w:t>
            </w:r>
          </w:p>
        </w:tc>
        <w:tc>
          <w:tcPr>
            <w:tcW w:w="2715" w:type="dxa"/>
            <w:tcBorders>
              <w:top w:val="single" w:color="auto" w:sz="4" w:space="0"/>
              <w:left w:val="single" w:color="auto" w:sz="4" w:space="0"/>
              <w:bottom w:val="single" w:color="auto" w:sz="4" w:space="0"/>
              <w:right w:val="single" w:color="auto" w:sz="4" w:space="0"/>
            </w:tcBorders>
          </w:tcPr>
          <w:p>
            <w:pPr>
              <w:pStyle w:val="42"/>
            </w:pPr>
            <w: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42"/>
            </w:pPr>
            <w:r>
              <w:t>2010 MHz – 2025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n38</w:t>
            </w:r>
          </w:p>
        </w:tc>
        <w:tc>
          <w:tcPr>
            <w:tcW w:w="2715" w:type="dxa"/>
            <w:tcBorders>
              <w:top w:val="single" w:color="auto" w:sz="4" w:space="0"/>
              <w:left w:val="single" w:color="auto" w:sz="4" w:space="0"/>
              <w:bottom w:val="single" w:color="auto" w:sz="4" w:space="0"/>
              <w:right w:val="single" w:color="auto" w:sz="4" w:space="0"/>
            </w:tcBorders>
          </w:tcPr>
          <w:p>
            <w:pPr>
              <w:pStyle w:val="42"/>
            </w:pPr>
            <w: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42"/>
            </w:pPr>
            <w:r>
              <w:t>2570 MHz – 2620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n39</w:t>
            </w:r>
          </w:p>
        </w:tc>
        <w:tc>
          <w:tcPr>
            <w:tcW w:w="2715" w:type="dxa"/>
            <w:tcBorders>
              <w:top w:val="single" w:color="auto" w:sz="4" w:space="0"/>
              <w:left w:val="single" w:color="auto" w:sz="4" w:space="0"/>
              <w:bottom w:val="single" w:color="auto" w:sz="4" w:space="0"/>
              <w:right w:val="single" w:color="auto" w:sz="4" w:space="0"/>
            </w:tcBorders>
          </w:tcPr>
          <w:p>
            <w:pPr>
              <w:pStyle w:val="42"/>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42"/>
            </w:pPr>
            <w:r>
              <w:t>1880 MHz – 1920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n40</w:t>
            </w:r>
          </w:p>
        </w:tc>
        <w:tc>
          <w:tcPr>
            <w:tcW w:w="2715" w:type="dxa"/>
            <w:tcBorders>
              <w:top w:val="single" w:color="auto" w:sz="4" w:space="0"/>
              <w:left w:val="single" w:color="auto" w:sz="4" w:space="0"/>
              <w:bottom w:val="single" w:color="auto" w:sz="4" w:space="0"/>
              <w:right w:val="single" w:color="auto" w:sz="4" w:space="0"/>
            </w:tcBorders>
          </w:tcPr>
          <w:p>
            <w:pPr>
              <w:pStyle w:val="42"/>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42"/>
            </w:pPr>
            <w:r>
              <w:t>2300 MHz – 2400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n41</w:t>
            </w:r>
          </w:p>
        </w:tc>
        <w:tc>
          <w:tcPr>
            <w:tcW w:w="2715" w:type="dxa"/>
            <w:tcBorders>
              <w:top w:val="single" w:color="auto" w:sz="4" w:space="0"/>
              <w:left w:val="single" w:color="auto" w:sz="4" w:space="0"/>
              <w:bottom w:val="single" w:color="auto" w:sz="4" w:space="0"/>
              <w:right w:val="single" w:color="auto" w:sz="4" w:space="0"/>
            </w:tcBorders>
          </w:tcPr>
          <w:p>
            <w:pPr>
              <w:pStyle w:val="42"/>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42"/>
            </w:pPr>
            <w:r>
              <w:t>2496 MHz – 2690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n50</w:t>
            </w:r>
          </w:p>
        </w:tc>
        <w:tc>
          <w:tcPr>
            <w:tcW w:w="2715" w:type="dxa"/>
            <w:tcBorders>
              <w:top w:val="single" w:color="auto" w:sz="4" w:space="0"/>
              <w:left w:val="single" w:color="auto" w:sz="4" w:space="0"/>
              <w:bottom w:val="single" w:color="auto" w:sz="4" w:space="0"/>
              <w:right w:val="single" w:color="auto" w:sz="4" w:space="0"/>
            </w:tcBorders>
          </w:tcPr>
          <w:p>
            <w:pPr>
              <w:pStyle w:val="42"/>
            </w:pPr>
            <w: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42"/>
            </w:pPr>
            <w:r>
              <w:t>1432 MHz – 1517 MHz</w:t>
            </w:r>
          </w:p>
        </w:tc>
        <w:tc>
          <w:tcPr>
            <w:tcW w:w="908" w:type="dxa"/>
            <w:tcBorders>
              <w:top w:val="single" w:color="auto" w:sz="4" w:space="0"/>
              <w:left w:val="single" w:color="auto" w:sz="4" w:space="0"/>
              <w:bottom w:val="nil"/>
              <w:right w:val="single" w:color="auto" w:sz="4" w:space="0"/>
            </w:tcBorders>
          </w:tcPr>
          <w:p>
            <w:pPr>
              <w:pStyle w:val="42"/>
            </w:pPr>
            <w:r>
              <w:t>TDD</w:t>
            </w:r>
            <w:r>
              <w:rPr>
                <w:rFonts w:cs="Arial"/>
                <w:vertAlign w:val="superscript"/>
              </w:rPr>
              <w:t>1</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n51</w:t>
            </w:r>
          </w:p>
        </w:tc>
        <w:tc>
          <w:tcPr>
            <w:tcW w:w="2715" w:type="dxa"/>
            <w:tcBorders>
              <w:top w:val="single" w:color="auto" w:sz="4" w:space="0"/>
              <w:left w:val="single" w:color="auto" w:sz="4" w:space="0"/>
              <w:bottom w:val="single" w:color="auto" w:sz="4" w:space="0"/>
              <w:right w:val="single" w:color="auto" w:sz="4" w:space="0"/>
            </w:tcBorders>
          </w:tcPr>
          <w:p>
            <w:pPr>
              <w:pStyle w:val="42"/>
            </w:pPr>
            <w: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42"/>
            </w:pPr>
            <w:r>
              <w:t>1427 MHz – 1432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n66</w:t>
            </w:r>
          </w:p>
        </w:tc>
        <w:tc>
          <w:tcPr>
            <w:tcW w:w="2715" w:type="dxa"/>
            <w:tcBorders>
              <w:top w:val="single" w:color="auto" w:sz="4" w:space="0"/>
              <w:left w:val="single" w:color="auto" w:sz="4" w:space="0"/>
              <w:bottom w:val="single" w:color="auto" w:sz="4" w:space="0"/>
              <w:right w:val="single" w:color="auto" w:sz="4" w:space="0"/>
            </w:tcBorders>
          </w:tcPr>
          <w:p>
            <w:pPr>
              <w:pStyle w:val="42"/>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42"/>
            </w:pPr>
            <w:r>
              <w:t>2110 MHz – 2200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n70</w:t>
            </w:r>
          </w:p>
        </w:tc>
        <w:tc>
          <w:tcPr>
            <w:tcW w:w="2715" w:type="dxa"/>
            <w:tcBorders>
              <w:top w:val="single" w:color="auto" w:sz="4" w:space="0"/>
              <w:left w:val="single" w:color="auto" w:sz="4" w:space="0"/>
              <w:bottom w:val="single" w:color="auto" w:sz="4" w:space="0"/>
              <w:right w:val="single" w:color="auto" w:sz="4" w:space="0"/>
            </w:tcBorders>
          </w:tcPr>
          <w:p>
            <w:pPr>
              <w:pStyle w:val="42"/>
            </w:pPr>
            <w: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42"/>
            </w:pPr>
            <w:r>
              <w:t>1995 MHz – 2020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n71</w:t>
            </w:r>
          </w:p>
        </w:tc>
        <w:tc>
          <w:tcPr>
            <w:tcW w:w="2715" w:type="dxa"/>
            <w:tcBorders>
              <w:top w:val="single" w:color="auto" w:sz="4" w:space="0"/>
              <w:left w:val="single" w:color="auto" w:sz="4" w:space="0"/>
              <w:bottom w:val="single" w:color="auto" w:sz="4" w:space="0"/>
              <w:right w:val="single" w:color="auto" w:sz="4" w:space="0"/>
            </w:tcBorders>
          </w:tcPr>
          <w:p>
            <w:pPr>
              <w:pStyle w:val="42"/>
            </w:pPr>
            <w:r>
              <w:t>663 MHz – 698 MHz</w:t>
            </w:r>
          </w:p>
        </w:tc>
        <w:tc>
          <w:tcPr>
            <w:tcW w:w="2953" w:type="dxa"/>
            <w:tcBorders>
              <w:top w:val="single" w:color="auto" w:sz="4" w:space="0"/>
              <w:left w:val="single" w:color="auto" w:sz="4" w:space="0"/>
              <w:bottom w:val="single" w:color="auto" w:sz="4" w:space="0"/>
              <w:right w:val="single" w:color="auto" w:sz="4" w:space="0"/>
            </w:tcBorders>
          </w:tcPr>
          <w:p>
            <w:pPr>
              <w:pStyle w:val="42"/>
            </w:pPr>
            <w:r>
              <w:t>617 MHz – 652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n74</w:t>
            </w:r>
          </w:p>
        </w:tc>
        <w:tc>
          <w:tcPr>
            <w:tcW w:w="2715" w:type="dxa"/>
            <w:tcBorders>
              <w:top w:val="single" w:color="auto" w:sz="4" w:space="0"/>
              <w:left w:val="single" w:color="auto" w:sz="4" w:space="0"/>
              <w:bottom w:val="single" w:color="auto" w:sz="4" w:space="0"/>
              <w:right w:val="single" w:color="auto" w:sz="4" w:space="0"/>
            </w:tcBorders>
          </w:tcPr>
          <w:p>
            <w:pPr>
              <w:pStyle w:val="42"/>
            </w:pPr>
            <w: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42"/>
            </w:pPr>
            <w:r>
              <w:t>1475 MHz – 1518 MHz</w:t>
            </w:r>
          </w:p>
        </w:tc>
        <w:tc>
          <w:tcPr>
            <w:tcW w:w="908" w:type="dxa"/>
            <w:tcBorders>
              <w:top w:val="single" w:color="auto" w:sz="4" w:space="0"/>
              <w:left w:val="single" w:color="auto" w:sz="4" w:space="0"/>
              <w:bottom w:val="nil"/>
              <w:right w:val="single" w:color="auto" w:sz="4" w:space="0"/>
            </w:tcBorders>
          </w:tcPr>
          <w:p>
            <w:pPr>
              <w:pStyle w:val="42"/>
            </w:pPr>
            <w:r>
              <w:t>FDD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n75</w:t>
            </w:r>
          </w:p>
        </w:tc>
        <w:tc>
          <w:tcPr>
            <w:tcW w:w="2715" w:type="dxa"/>
            <w:tcBorders>
              <w:top w:val="single" w:color="auto" w:sz="4" w:space="0"/>
              <w:left w:val="single" w:color="auto" w:sz="4" w:space="0"/>
              <w:bottom w:val="single" w:color="auto" w:sz="4" w:space="0"/>
              <w:right w:val="single" w:color="auto" w:sz="4" w:space="0"/>
            </w:tcBorders>
          </w:tcPr>
          <w:p>
            <w:pPr>
              <w:pStyle w:val="42"/>
            </w:pPr>
            <w:r>
              <w:t>N/A</w:t>
            </w:r>
          </w:p>
        </w:tc>
        <w:tc>
          <w:tcPr>
            <w:tcW w:w="2953" w:type="dxa"/>
            <w:tcBorders>
              <w:top w:val="single" w:color="auto" w:sz="4" w:space="0"/>
              <w:left w:val="single" w:color="auto" w:sz="4" w:space="0"/>
              <w:bottom w:val="single" w:color="auto" w:sz="4" w:space="0"/>
              <w:right w:val="single" w:color="auto" w:sz="4" w:space="0"/>
            </w:tcBorders>
          </w:tcPr>
          <w:p>
            <w:pPr>
              <w:pStyle w:val="42"/>
            </w:pPr>
            <w:r>
              <w:t>1432 MHz – 1517 MHz</w:t>
            </w:r>
          </w:p>
        </w:tc>
        <w:tc>
          <w:tcPr>
            <w:tcW w:w="908" w:type="dxa"/>
            <w:tcBorders>
              <w:top w:val="single" w:color="auto" w:sz="4" w:space="0"/>
              <w:left w:val="single" w:color="auto" w:sz="4" w:space="0"/>
              <w:bottom w:val="nil"/>
              <w:right w:val="single" w:color="auto" w:sz="4" w:space="0"/>
            </w:tcBorders>
          </w:tcPr>
          <w:p>
            <w:pPr>
              <w:pStyle w:val="42"/>
            </w:pPr>
            <w:r>
              <w:t>SDL</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n76</w:t>
            </w:r>
          </w:p>
        </w:tc>
        <w:tc>
          <w:tcPr>
            <w:tcW w:w="2715" w:type="dxa"/>
            <w:tcBorders>
              <w:top w:val="single" w:color="auto" w:sz="4" w:space="0"/>
              <w:left w:val="single" w:color="auto" w:sz="4" w:space="0"/>
              <w:bottom w:val="single" w:color="auto" w:sz="4" w:space="0"/>
              <w:right w:val="single" w:color="auto" w:sz="4" w:space="0"/>
            </w:tcBorders>
          </w:tcPr>
          <w:p>
            <w:pPr>
              <w:pStyle w:val="42"/>
            </w:pPr>
            <w:r>
              <w:t>N/A</w:t>
            </w:r>
          </w:p>
        </w:tc>
        <w:tc>
          <w:tcPr>
            <w:tcW w:w="2953" w:type="dxa"/>
            <w:tcBorders>
              <w:top w:val="single" w:color="auto" w:sz="4" w:space="0"/>
              <w:left w:val="single" w:color="auto" w:sz="4" w:space="0"/>
              <w:bottom w:val="single" w:color="auto" w:sz="4" w:space="0"/>
              <w:right w:val="single" w:color="auto" w:sz="4" w:space="0"/>
            </w:tcBorders>
          </w:tcPr>
          <w:p>
            <w:pPr>
              <w:pStyle w:val="42"/>
            </w:pPr>
            <w:r>
              <w:t>1427 MHz – 1432 MHz</w:t>
            </w:r>
          </w:p>
        </w:tc>
        <w:tc>
          <w:tcPr>
            <w:tcW w:w="908" w:type="dxa"/>
            <w:tcBorders>
              <w:top w:val="single" w:color="auto" w:sz="4" w:space="0"/>
              <w:left w:val="single" w:color="auto" w:sz="4" w:space="0"/>
              <w:bottom w:val="nil"/>
              <w:right w:val="single" w:color="auto" w:sz="4" w:space="0"/>
            </w:tcBorders>
          </w:tcPr>
          <w:p>
            <w:pPr>
              <w:pStyle w:val="42"/>
            </w:pPr>
            <w:r>
              <w:t>SDL</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n77</w:t>
            </w:r>
          </w:p>
        </w:tc>
        <w:tc>
          <w:tcPr>
            <w:tcW w:w="2715" w:type="dxa"/>
            <w:tcBorders>
              <w:top w:val="single" w:color="auto" w:sz="4" w:space="0"/>
              <w:left w:val="single" w:color="auto" w:sz="4" w:space="0"/>
              <w:bottom w:val="single" w:color="auto" w:sz="4" w:space="0"/>
              <w:right w:val="single" w:color="auto" w:sz="4" w:space="0"/>
            </w:tcBorders>
          </w:tcPr>
          <w:p>
            <w:pPr>
              <w:pStyle w:val="42"/>
            </w:pPr>
            <w: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42"/>
            </w:pPr>
            <w:r>
              <w:t>3300 MHz – 4200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n78</w:t>
            </w:r>
          </w:p>
        </w:tc>
        <w:tc>
          <w:tcPr>
            <w:tcW w:w="2715" w:type="dxa"/>
            <w:tcBorders>
              <w:top w:val="single" w:color="auto" w:sz="4" w:space="0"/>
              <w:left w:val="single" w:color="auto" w:sz="4" w:space="0"/>
              <w:bottom w:val="single" w:color="auto" w:sz="4" w:space="0"/>
              <w:right w:val="single" w:color="auto" w:sz="4" w:space="0"/>
            </w:tcBorders>
          </w:tcPr>
          <w:p>
            <w:pPr>
              <w:pStyle w:val="42"/>
            </w:pPr>
            <w: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42"/>
            </w:pPr>
            <w:r>
              <w:t>3300 MHz – 3800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n79</w:t>
            </w:r>
          </w:p>
        </w:tc>
        <w:tc>
          <w:tcPr>
            <w:tcW w:w="2715" w:type="dxa"/>
            <w:tcBorders>
              <w:top w:val="single" w:color="auto" w:sz="4" w:space="0"/>
              <w:left w:val="single" w:color="auto" w:sz="4" w:space="0"/>
              <w:bottom w:val="single" w:color="auto" w:sz="4" w:space="0"/>
              <w:right w:val="single" w:color="auto" w:sz="4" w:space="0"/>
            </w:tcBorders>
          </w:tcPr>
          <w:p>
            <w:pPr>
              <w:pStyle w:val="42"/>
            </w:pPr>
            <w: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42"/>
            </w:pPr>
            <w:r>
              <w:t>4400 MHz – 5000 MHz</w:t>
            </w:r>
          </w:p>
        </w:tc>
        <w:tc>
          <w:tcPr>
            <w:tcW w:w="908" w:type="dxa"/>
            <w:tcBorders>
              <w:top w:val="single" w:color="auto" w:sz="4" w:space="0"/>
              <w:left w:val="single" w:color="auto" w:sz="4" w:space="0"/>
              <w:bottom w:val="nil"/>
              <w:right w:val="single" w:color="auto" w:sz="4" w:space="0"/>
            </w:tcBorders>
          </w:tcPr>
          <w:p>
            <w:pPr>
              <w:pStyle w:val="42"/>
            </w:pPr>
            <w:r>
              <w:t>TDD</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n80</w:t>
            </w:r>
          </w:p>
        </w:tc>
        <w:tc>
          <w:tcPr>
            <w:tcW w:w="2715"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908" w:type="dxa"/>
            <w:tcBorders>
              <w:top w:val="single" w:color="auto" w:sz="4" w:space="0"/>
              <w:left w:val="single" w:color="auto" w:sz="4" w:space="0"/>
              <w:bottom w:val="nil"/>
              <w:right w:val="single" w:color="auto" w:sz="4" w:space="0"/>
            </w:tcBorders>
          </w:tcPr>
          <w:p>
            <w:pPr>
              <w:pStyle w:val="42"/>
              <w:rPr>
                <w:highlight w:val="yellow"/>
              </w:rPr>
            </w:pPr>
            <w:r>
              <w:rPr>
                <w:highlight w:val="yellow"/>
              </w:rPr>
              <w:t xml:space="preserve">SUL </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n81</w:t>
            </w:r>
          </w:p>
        </w:tc>
        <w:tc>
          <w:tcPr>
            <w:tcW w:w="2715"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880 MHz – 915 MHz</w:t>
            </w:r>
          </w:p>
        </w:tc>
        <w:tc>
          <w:tcPr>
            <w:tcW w:w="2953"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908" w:type="dxa"/>
            <w:tcBorders>
              <w:top w:val="single" w:color="auto" w:sz="4" w:space="0"/>
              <w:left w:val="single" w:color="auto" w:sz="4" w:space="0"/>
              <w:bottom w:val="nil"/>
              <w:right w:val="single" w:color="auto" w:sz="4" w:space="0"/>
            </w:tcBorders>
          </w:tcPr>
          <w:p>
            <w:pPr>
              <w:pStyle w:val="42"/>
              <w:rPr>
                <w:highlight w:val="yellow"/>
              </w:rPr>
            </w:pPr>
            <w:r>
              <w:rPr>
                <w:highlight w:val="yellow"/>
              </w:rPr>
              <w:t xml:space="preserve">SUL </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n82</w:t>
            </w:r>
          </w:p>
        </w:tc>
        <w:tc>
          <w:tcPr>
            <w:tcW w:w="2715"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832 MHz – 862 MHz</w:t>
            </w:r>
          </w:p>
        </w:tc>
        <w:tc>
          <w:tcPr>
            <w:tcW w:w="2953"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908" w:type="dxa"/>
            <w:tcBorders>
              <w:top w:val="single" w:color="auto" w:sz="4" w:space="0"/>
              <w:left w:val="single" w:color="auto" w:sz="4" w:space="0"/>
              <w:bottom w:val="nil"/>
              <w:right w:val="single" w:color="auto" w:sz="4" w:space="0"/>
            </w:tcBorders>
          </w:tcPr>
          <w:p>
            <w:pPr>
              <w:pStyle w:val="42"/>
              <w:rPr>
                <w:highlight w:val="yellow"/>
              </w:rPr>
            </w:pPr>
            <w:r>
              <w:rPr>
                <w:highlight w:val="yellow"/>
              </w:rPr>
              <w:t xml:space="preserve">SUL </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nil"/>
              <w:right w:val="single" w:color="auto" w:sz="4" w:space="0"/>
            </w:tcBorders>
          </w:tcPr>
          <w:p>
            <w:pPr>
              <w:pStyle w:val="42"/>
            </w:pPr>
            <w:r>
              <w:t>n83</w:t>
            </w:r>
          </w:p>
        </w:tc>
        <w:tc>
          <w:tcPr>
            <w:tcW w:w="2715"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703 MHz – 748 MHz</w:t>
            </w:r>
          </w:p>
        </w:tc>
        <w:tc>
          <w:tcPr>
            <w:tcW w:w="2953"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908" w:type="dxa"/>
            <w:tcBorders>
              <w:top w:val="single" w:color="auto" w:sz="4" w:space="0"/>
              <w:left w:val="single" w:color="auto" w:sz="4" w:space="0"/>
              <w:bottom w:val="nil"/>
              <w:right w:val="single" w:color="auto" w:sz="4" w:space="0"/>
            </w:tcBorders>
          </w:tcPr>
          <w:p>
            <w:pPr>
              <w:pStyle w:val="42"/>
              <w:rPr>
                <w:highlight w:val="yellow"/>
              </w:rPr>
            </w:pPr>
            <w:r>
              <w:rPr>
                <w:highlight w:val="yellow"/>
              </w:rPr>
              <w:t>SUL</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single" w:color="auto" w:sz="4" w:space="0"/>
              <w:right w:val="single" w:color="auto" w:sz="4" w:space="0"/>
            </w:tcBorders>
          </w:tcPr>
          <w:p>
            <w:pPr>
              <w:pStyle w:val="42"/>
            </w:pPr>
            <w:r>
              <w:t>n84</w:t>
            </w:r>
          </w:p>
        </w:tc>
        <w:tc>
          <w:tcPr>
            <w:tcW w:w="2715"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908"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SUL</w:t>
            </w:r>
          </w:p>
        </w:tc>
      </w:tr>
      <w:tr>
        <w:tblPrEx>
          <w:tblLayout w:type="fixed"/>
          <w:tblCellMar>
            <w:top w:w="0" w:type="dxa"/>
            <w:left w:w="108" w:type="dxa"/>
            <w:bottom w:w="0" w:type="dxa"/>
            <w:right w:w="108" w:type="dxa"/>
          </w:tblCellMar>
        </w:tblPrEx>
        <w:trPr>
          <w:jc w:val="center"/>
        </w:trPr>
        <w:tc>
          <w:tcPr>
            <w:tcW w:w="1161" w:type="dxa"/>
            <w:tcBorders>
              <w:top w:val="single" w:color="auto" w:sz="4" w:space="0"/>
              <w:left w:val="single" w:color="auto" w:sz="4" w:space="0"/>
              <w:bottom w:val="single" w:color="auto" w:sz="4" w:space="0"/>
              <w:right w:val="single" w:color="auto" w:sz="4" w:space="0"/>
            </w:tcBorders>
          </w:tcPr>
          <w:p>
            <w:pPr>
              <w:pStyle w:val="42"/>
              <w:rPr>
                <w:b/>
              </w:rPr>
            </w:pPr>
            <w:r>
              <w:t>n86</w:t>
            </w:r>
          </w:p>
        </w:tc>
        <w:tc>
          <w:tcPr>
            <w:tcW w:w="2715"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908" w:type="dxa"/>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SUL</w:t>
            </w:r>
          </w:p>
        </w:tc>
      </w:tr>
      <w:tr>
        <w:tblPrEx>
          <w:tblLayout w:type="fixed"/>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pStyle w:val="113"/>
            </w:pPr>
            <w:r>
              <w:t>NOTE 1:</w:t>
            </w:r>
            <w:r>
              <w:tab/>
            </w:r>
            <w:r>
              <w:t>UE that complies with the NR Band n50 minimum requirements in this specification         shall also comply with the NR Band n51 minimum requirements.</w:t>
            </w:r>
          </w:p>
          <w:p>
            <w:pPr>
              <w:pStyle w:val="113"/>
            </w:pPr>
            <w:r>
              <w:t>NOTE 2:</w:t>
            </w:r>
            <w:r>
              <w:tab/>
            </w:r>
            <w:r>
              <w:t>UE that complies with the NR Band n75 minimum requirements in this specification         shall also comply with the NR Band n76 minimum requirements.</w:t>
            </w:r>
          </w:p>
        </w:tc>
      </w:tr>
    </w:tbl>
    <w:p>
      <w:pPr>
        <w:widowControl w:val="0"/>
        <w:snapToGrid w:val="0"/>
        <w:spacing w:before="120" w:after="120" w:afterLines="50" w:line="240" w:lineRule="auto"/>
        <w:jc w:val="both"/>
        <w:rPr>
          <w:sz w:val="20"/>
          <w:szCs w:val="20"/>
        </w:rPr>
      </w:pPr>
    </w:p>
    <w:p>
      <w:pPr>
        <w:widowControl w:val="0"/>
        <w:snapToGrid w:val="0"/>
        <w:spacing w:before="120" w:after="120" w:afterLines="50" w:line="240" w:lineRule="auto"/>
        <w:jc w:val="both"/>
        <w:rPr>
          <w:i/>
          <w:iCs/>
          <w:sz w:val="20"/>
          <w:szCs w:val="20"/>
        </w:rPr>
      </w:pPr>
      <w:r>
        <w:rPr>
          <w:rFonts w:hint="eastAsia"/>
          <w:b/>
          <w:bCs/>
          <w:i/>
          <w:iCs/>
          <w:sz w:val="20"/>
          <w:szCs w:val="20"/>
        </w:rPr>
        <w:t>Observation2:</w:t>
      </w:r>
      <w:r>
        <w:rPr>
          <w:rFonts w:hint="eastAsia"/>
          <w:i/>
          <w:iCs/>
          <w:sz w:val="20"/>
          <w:szCs w:val="20"/>
        </w:rPr>
        <w:t xml:space="preserve"> NR SUL carriers</w:t>
      </w:r>
      <w:r>
        <w:rPr>
          <w:i/>
          <w:iCs/>
          <w:sz w:val="20"/>
          <w:szCs w:val="20"/>
        </w:rPr>
        <w:t xml:space="preserve"> do not have the corresponding downlink operating band.  DL CSI acquisition is invalid for SUL carriers.  </w:t>
      </w:r>
      <w:r>
        <w:rPr>
          <w:rFonts w:hint="eastAsia"/>
          <w:i/>
          <w:iCs/>
          <w:sz w:val="20"/>
          <w:szCs w:val="20"/>
        </w:rPr>
        <w:t xml:space="preserve"> </w:t>
      </w:r>
    </w:p>
    <w:p>
      <w:pPr>
        <w:widowControl w:val="0"/>
        <w:snapToGrid w:val="0"/>
        <w:spacing w:before="120" w:after="120" w:afterLines="50" w:line="240" w:lineRule="auto"/>
        <w:jc w:val="both"/>
        <w:rPr>
          <w:sz w:val="20"/>
          <w:szCs w:val="20"/>
        </w:rPr>
      </w:pPr>
    </w:p>
    <w:p>
      <w:pPr>
        <w:widowControl w:val="0"/>
        <w:snapToGrid w:val="0"/>
        <w:spacing w:before="120" w:after="120" w:afterLines="50" w:line="240" w:lineRule="auto"/>
        <w:jc w:val="both"/>
        <w:rPr>
          <w:rFonts w:hint="eastAsia"/>
          <w:sz w:val="20"/>
          <w:szCs w:val="20"/>
        </w:rPr>
      </w:pPr>
      <w:r>
        <w:rPr>
          <w:sz w:val="20"/>
          <w:szCs w:val="20"/>
        </w:rPr>
        <w:t xml:space="preserve">The purpose of SUL configuration is for adding one more carrier for uplink transmission. </w:t>
      </w:r>
      <w:r>
        <w:rPr>
          <w:rFonts w:hint="eastAsia"/>
          <w:sz w:val="20"/>
          <w:szCs w:val="20"/>
          <w:lang w:val="en-US" w:eastAsia="zh-CN"/>
        </w:rPr>
        <w:t xml:space="preserve"> </w:t>
      </w:r>
      <w:r>
        <w:rPr>
          <w:sz w:val="20"/>
          <w:szCs w:val="20"/>
        </w:rPr>
        <w:t xml:space="preserve">Although the current RRC signaling design does not preclude the configuration of SUL without configured PUCCH/PUSCH, this kind of configuration is meaningless.  It may be meaningful not to configure PUCCH/PUSCH in NUL and rely on SUL for uplink transmission.  However, Case 1 (i.e. SUL without PUCCH/PUSCH) and Case 2 (i.e. </w:t>
      </w:r>
      <w:r>
        <w:rPr>
          <w:rFonts w:hint="eastAsia"/>
          <w:sz w:val="20"/>
          <w:szCs w:val="20"/>
        </w:rPr>
        <w:t>ne</w:t>
      </w:r>
      <w:r>
        <w:rPr>
          <w:sz w:val="20"/>
          <w:szCs w:val="20"/>
        </w:rPr>
        <w:t xml:space="preserve">ither SUL nor NUL is configured with PUCCH/PUSCH) described in the LS are both meaningless configurations.    </w:t>
      </w:r>
    </w:p>
    <w:p>
      <w:pPr>
        <w:widowControl w:val="0"/>
        <w:snapToGrid w:val="0"/>
        <w:spacing w:before="120" w:after="120" w:afterLines="50" w:line="240" w:lineRule="auto"/>
        <w:jc w:val="both"/>
        <w:rPr>
          <w:rFonts w:hint="eastAsia"/>
          <w:sz w:val="20"/>
          <w:szCs w:val="20"/>
        </w:rPr>
      </w:pPr>
      <w:r>
        <w:rPr>
          <w:rFonts w:hint="eastAsia"/>
          <w:b/>
          <w:bCs w:val="0"/>
          <w:i/>
          <w:iCs/>
          <w:sz w:val="20"/>
          <w:szCs w:val="20"/>
        </w:rPr>
        <w:t>Observation</w:t>
      </w:r>
      <w:r>
        <w:rPr>
          <w:b/>
          <w:bCs w:val="0"/>
          <w:i/>
          <w:iCs/>
          <w:sz w:val="20"/>
          <w:szCs w:val="20"/>
        </w:rPr>
        <w:t>3</w:t>
      </w:r>
      <w:r>
        <w:rPr>
          <w:rFonts w:hint="eastAsia"/>
          <w:b/>
          <w:bCs w:val="0"/>
          <w:i/>
          <w:iCs/>
          <w:sz w:val="20"/>
          <w:szCs w:val="20"/>
        </w:rPr>
        <w:t>:</w:t>
      </w:r>
      <w:r>
        <w:rPr>
          <w:b/>
          <w:bCs w:val="0"/>
          <w:i/>
          <w:iCs/>
          <w:sz w:val="20"/>
          <w:szCs w:val="20"/>
        </w:rPr>
        <w:t xml:space="preserve"> </w:t>
      </w:r>
      <w:r>
        <w:rPr>
          <w:b w:val="0"/>
          <w:bCs/>
          <w:i/>
          <w:iCs/>
          <w:sz w:val="20"/>
          <w:szCs w:val="20"/>
        </w:rPr>
        <w:t>SUL without</w:t>
      </w:r>
      <w:r>
        <w:rPr>
          <w:bCs/>
          <w:i/>
          <w:iCs/>
          <w:sz w:val="20"/>
          <w:szCs w:val="20"/>
        </w:rPr>
        <w:t xml:space="preserve"> PUCCH/PUSCH is a meaningless configuration.</w:t>
      </w:r>
    </w:p>
    <w:p>
      <w:pPr>
        <w:widowControl w:val="0"/>
        <w:snapToGrid w:val="0"/>
        <w:spacing w:before="120" w:after="120" w:afterLines="50" w:line="240" w:lineRule="auto"/>
        <w:jc w:val="both"/>
        <w:rPr>
          <w:rFonts w:hint="eastAsia"/>
          <w:sz w:val="20"/>
          <w:szCs w:val="20"/>
        </w:rPr>
      </w:pPr>
    </w:p>
    <w:p>
      <w:pPr>
        <w:widowControl w:val="0"/>
        <w:snapToGrid w:val="0"/>
        <w:spacing w:before="120" w:after="120" w:afterLines="50" w:line="240" w:lineRule="auto"/>
        <w:jc w:val="both"/>
        <w:rPr>
          <w:sz w:val="20"/>
          <w:szCs w:val="20"/>
        </w:rPr>
      </w:pPr>
      <w:r>
        <w:rPr>
          <w:rFonts w:hint="eastAsia"/>
          <w:sz w:val="20"/>
          <w:szCs w:val="20"/>
        </w:rPr>
        <w:t>Based on Observation</w:t>
      </w:r>
      <w:r>
        <w:rPr>
          <w:sz w:val="20"/>
          <w:szCs w:val="20"/>
        </w:rPr>
        <w:t>s</w:t>
      </w:r>
      <w:r>
        <w:rPr>
          <w:rFonts w:hint="eastAsia"/>
          <w:sz w:val="20"/>
          <w:szCs w:val="20"/>
        </w:rPr>
        <w:t xml:space="preserve"> 1</w:t>
      </w:r>
      <w:r>
        <w:rPr>
          <w:sz w:val="20"/>
          <w:szCs w:val="20"/>
        </w:rPr>
        <w:t>,</w:t>
      </w:r>
      <w:r>
        <w:rPr>
          <w:rFonts w:hint="eastAsia"/>
          <w:sz w:val="20"/>
          <w:szCs w:val="20"/>
        </w:rPr>
        <w:t>2</w:t>
      </w:r>
      <w:r>
        <w:rPr>
          <w:sz w:val="20"/>
          <w:szCs w:val="20"/>
        </w:rPr>
        <w:t xml:space="preserve"> and 3</w:t>
      </w:r>
      <w:r>
        <w:rPr>
          <w:rFonts w:hint="eastAsia"/>
          <w:sz w:val="20"/>
          <w:szCs w:val="20"/>
        </w:rPr>
        <w:t xml:space="preserve">, it is meaningless to achieve DL CSI </w:t>
      </w:r>
      <w:r>
        <w:rPr>
          <w:sz w:val="20"/>
          <w:szCs w:val="20"/>
        </w:rPr>
        <w:t xml:space="preserve">acquisition </w:t>
      </w:r>
      <w:r>
        <w:rPr>
          <w:rFonts w:hint="eastAsia"/>
          <w:sz w:val="20"/>
          <w:szCs w:val="20"/>
        </w:rPr>
        <w:t xml:space="preserve">in a SUL carrier which cannot support DL data transmission. Therefore, </w:t>
      </w:r>
      <w:r>
        <w:rPr>
          <w:sz w:val="20"/>
          <w:szCs w:val="20"/>
        </w:rPr>
        <w:t>neither case 1 nor</w:t>
      </w:r>
      <w:r>
        <w:rPr>
          <w:rFonts w:hint="eastAsia"/>
          <w:sz w:val="20"/>
          <w:szCs w:val="20"/>
        </w:rPr>
        <w:t xml:space="preserve"> case 2 listed in RAN2 LS is allowed.</w:t>
      </w:r>
    </w:p>
    <w:p>
      <w:pPr>
        <w:widowControl w:val="0"/>
        <w:snapToGrid w:val="0"/>
        <w:spacing w:before="120" w:after="120" w:afterLines="50" w:line="240" w:lineRule="auto"/>
        <w:jc w:val="both"/>
        <w:rPr>
          <w:sz w:val="20"/>
          <w:szCs w:val="20"/>
        </w:rPr>
      </w:pPr>
      <w:r>
        <w:rPr>
          <w:rFonts w:hint="eastAsia"/>
          <w:sz w:val="20"/>
          <w:szCs w:val="20"/>
        </w:rPr>
        <w:t>Further, since LTE has no SUL carrier, and it has never</w:t>
      </w:r>
      <w:r>
        <w:rPr>
          <w:sz w:val="20"/>
          <w:szCs w:val="20"/>
        </w:rPr>
        <w:t xml:space="preserve"> been any </w:t>
      </w:r>
      <w:r>
        <w:rPr>
          <w:rFonts w:hint="eastAsia"/>
          <w:sz w:val="20"/>
          <w:szCs w:val="20"/>
        </w:rPr>
        <w:t>detailed discussion</w:t>
      </w:r>
      <w:r>
        <w:rPr>
          <w:sz w:val="20"/>
          <w:szCs w:val="20"/>
        </w:rPr>
        <w:t xml:space="preserve"> for NR</w:t>
      </w:r>
      <w:r>
        <w:rPr>
          <w:rFonts w:hint="eastAsia"/>
          <w:sz w:val="20"/>
          <w:szCs w:val="20"/>
        </w:rPr>
        <w:t xml:space="preserve"> on whether/how SRS carrier switching is</w:t>
      </w:r>
      <w:r>
        <w:rPr>
          <w:sz w:val="20"/>
          <w:szCs w:val="20"/>
        </w:rPr>
        <w:t xml:space="preserve"> </w:t>
      </w:r>
      <w:r>
        <w:rPr>
          <w:rFonts w:hint="eastAsia"/>
          <w:sz w:val="20"/>
          <w:szCs w:val="20"/>
        </w:rPr>
        <w:t>supp</w:t>
      </w:r>
      <w:r>
        <w:rPr>
          <w:sz w:val="20"/>
          <w:szCs w:val="20"/>
        </w:rPr>
        <w:t>orted</w:t>
      </w:r>
      <w:r>
        <w:rPr>
          <w:rFonts w:hint="eastAsia"/>
          <w:sz w:val="20"/>
          <w:szCs w:val="20"/>
        </w:rPr>
        <w:t xml:space="preserve"> on SUL, it is natural not to support NR carrier switching in SUL carrier.</w:t>
      </w:r>
      <w:r>
        <w:rPr>
          <w:sz w:val="20"/>
          <w:szCs w:val="20"/>
        </w:rPr>
        <w:t xml:space="preserve">  Based on the analysis, we have the following proposal on replying to the RAN2 LS.</w:t>
      </w:r>
      <w:r>
        <w:rPr>
          <w:rFonts w:hint="eastAsia"/>
          <w:sz w:val="20"/>
          <w:szCs w:val="20"/>
        </w:rPr>
        <w:t xml:space="preserve"> </w:t>
      </w:r>
    </w:p>
    <w:p>
      <w:pPr>
        <w:widowControl w:val="0"/>
        <w:snapToGrid w:val="0"/>
        <w:spacing w:before="120" w:after="120" w:afterLines="50" w:line="240" w:lineRule="auto"/>
        <w:jc w:val="both"/>
        <w:rPr>
          <w:i/>
          <w:iCs/>
          <w:sz w:val="20"/>
          <w:szCs w:val="20"/>
        </w:rPr>
      </w:pPr>
      <w:r>
        <w:rPr>
          <w:rFonts w:hint="eastAsia"/>
          <w:b/>
          <w:bCs/>
          <w:i/>
          <w:iCs/>
          <w:sz w:val="20"/>
          <w:szCs w:val="20"/>
        </w:rPr>
        <w:t xml:space="preserve">Proposal: </w:t>
      </w:r>
      <w:r>
        <w:rPr>
          <w:rFonts w:hint="eastAsia"/>
          <w:i/>
          <w:iCs/>
          <w:sz w:val="20"/>
          <w:szCs w:val="20"/>
        </w:rPr>
        <w:t xml:space="preserve"> </w:t>
      </w:r>
      <w:r>
        <w:rPr>
          <w:i/>
          <w:iCs/>
          <w:sz w:val="20"/>
          <w:szCs w:val="20"/>
        </w:rPr>
        <w:t>Reply to the LS R1-2005209(R2-2006362) that neither case 1 nor</w:t>
      </w:r>
      <w:r>
        <w:rPr>
          <w:rFonts w:hint="eastAsia"/>
          <w:i/>
          <w:iCs/>
          <w:sz w:val="20"/>
          <w:szCs w:val="20"/>
        </w:rPr>
        <w:t xml:space="preserve"> case 2 listed in </w:t>
      </w:r>
      <w:r>
        <w:rPr>
          <w:i/>
          <w:iCs/>
          <w:sz w:val="20"/>
          <w:szCs w:val="20"/>
        </w:rPr>
        <w:t xml:space="preserve">the </w:t>
      </w:r>
      <w:r>
        <w:rPr>
          <w:rFonts w:hint="eastAsia"/>
          <w:i/>
          <w:iCs/>
          <w:sz w:val="20"/>
          <w:szCs w:val="20"/>
        </w:rPr>
        <w:t>LS is allowed.</w:t>
      </w:r>
    </w:p>
    <w:p>
      <w:pPr>
        <w:widowControl w:val="0"/>
        <w:snapToGrid w:val="0"/>
        <w:spacing w:before="120" w:after="120" w:afterLines="50" w:line="240" w:lineRule="auto"/>
        <w:jc w:val="both"/>
        <w:rPr>
          <w:sz w:val="20"/>
          <w:szCs w:val="20"/>
        </w:rPr>
      </w:pPr>
    </w:p>
    <w:p>
      <w:pPr>
        <w:pStyle w:val="2"/>
        <w:tabs>
          <w:tab w:val="clear" w:pos="432"/>
        </w:tabs>
        <w:snapToGrid w:val="0"/>
        <w:spacing w:before="120" w:beforeLines="50" w:after="120" w:afterLines="50"/>
        <w:ind w:left="431" w:hanging="431"/>
        <w:rPr>
          <w:sz w:val="28"/>
          <w:lang w:val="en-US"/>
        </w:rPr>
      </w:pPr>
      <w:r>
        <w:rPr>
          <w:sz w:val="28"/>
          <w:lang w:val="en-US"/>
        </w:rPr>
        <w:t>Conclusion</w:t>
      </w:r>
    </w:p>
    <w:p>
      <w:pPr>
        <w:widowControl w:val="0"/>
        <w:snapToGrid w:val="0"/>
        <w:spacing w:before="120" w:after="120" w:afterLines="50" w:line="240" w:lineRule="auto"/>
        <w:jc w:val="both"/>
        <w:rPr>
          <w:rFonts w:hint="default"/>
          <w:sz w:val="20"/>
          <w:szCs w:val="20"/>
          <w:lang w:val="en-US"/>
        </w:rPr>
      </w:pPr>
      <w:r>
        <w:rPr>
          <w:rFonts w:hint="eastAsia"/>
          <w:sz w:val="20"/>
          <w:szCs w:val="20"/>
        </w:rPr>
        <w:t xml:space="preserve">In this contribution, we discuss </w:t>
      </w:r>
      <w:r>
        <w:rPr>
          <w:rFonts w:hint="eastAsia"/>
          <w:sz w:val="20"/>
          <w:szCs w:val="20"/>
          <w:lang w:val="en-US" w:eastAsia="zh-CN"/>
        </w:rPr>
        <w:t xml:space="preserve">the questions listed in the LS </w:t>
      </w:r>
      <w:r>
        <w:rPr>
          <w:rFonts w:hint="eastAsia"/>
          <w:sz w:val="20"/>
          <w:szCs w:val="20"/>
        </w:rPr>
        <w:t>R1-2005209(R2-2006362). The following observations and proposals are</w:t>
      </w:r>
      <w:r>
        <w:rPr>
          <w:rFonts w:hint="eastAsia"/>
          <w:sz w:val="20"/>
          <w:szCs w:val="20"/>
          <w:lang w:val="en-US" w:eastAsia="zh-CN"/>
        </w:rPr>
        <w:t xml:space="preserve"> provided:</w:t>
      </w:r>
    </w:p>
    <w:p>
      <w:pPr>
        <w:widowControl w:val="0"/>
        <w:snapToGrid w:val="0"/>
        <w:spacing w:before="120" w:after="120" w:afterLines="50" w:line="240" w:lineRule="auto"/>
        <w:jc w:val="both"/>
        <w:rPr>
          <w:i/>
          <w:iCs/>
          <w:sz w:val="20"/>
          <w:szCs w:val="20"/>
        </w:rPr>
      </w:pPr>
      <w:r>
        <w:rPr>
          <w:rFonts w:hint="eastAsia"/>
          <w:b/>
          <w:bCs/>
          <w:i/>
          <w:iCs/>
          <w:sz w:val="20"/>
          <w:szCs w:val="20"/>
        </w:rPr>
        <w:t>Observation1:</w:t>
      </w:r>
      <w:r>
        <w:rPr>
          <w:rFonts w:hint="eastAsia"/>
          <w:i/>
          <w:iCs/>
          <w:sz w:val="20"/>
          <w:szCs w:val="20"/>
        </w:rPr>
        <w:t xml:space="preserve"> For type A, NR SRS carrier switching is for DL CSI acquisition for a set of </w:t>
      </w:r>
      <w:r>
        <w:rPr>
          <w:i/>
          <w:iCs/>
          <w:sz w:val="20"/>
          <w:szCs w:val="20"/>
        </w:rPr>
        <w:t xml:space="preserve">TDD </w:t>
      </w:r>
      <w:r>
        <w:rPr>
          <w:rFonts w:hint="eastAsia"/>
          <w:i/>
          <w:iCs/>
          <w:sz w:val="20"/>
          <w:szCs w:val="20"/>
        </w:rPr>
        <w:t>serving cells without configured PUSCH/PUCCH.</w:t>
      </w:r>
    </w:p>
    <w:p>
      <w:pPr>
        <w:widowControl w:val="0"/>
        <w:snapToGrid w:val="0"/>
        <w:spacing w:before="120" w:after="120" w:afterLines="50" w:line="240" w:lineRule="auto"/>
        <w:jc w:val="both"/>
        <w:rPr>
          <w:i/>
          <w:iCs/>
          <w:sz w:val="20"/>
          <w:szCs w:val="20"/>
        </w:rPr>
      </w:pPr>
      <w:r>
        <w:rPr>
          <w:rFonts w:hint="eastAsia"/>
          <w:b/>
          <w:bCs/>
          <w:i/>
          <w:iCs/>
          <w:sz w:val="20"/>
          <w:szCs w:val="20"/>
        </w:rPr>
        <w:t>Observation2:</w:t>
      </w:r>
      <w:r>
        <w:rPr>
          <w:rFonts w:hint="eastAsia"/>
          <w:i/>
          <w:iCs/>
          <w:sz w:val="20"/>
          <w:szCs w:val="20"/>
        </w:rPr>
        <w:t xml:space="preserve"> NR SUL carriers</w:t>
      </w:r>
      <w:r>
        <w:rPr>
          <w:i/>
          <w:iCs/>
          <w:sz w:val="20"/>
          <w:szCs w:val="20"/>
        </w:rPr>
        <w:t xml:space="preserve"> do not have the corresponding downlink operating band.  DL CSI acquisition is invalid for SUL carriers.</w:t>
      </w:r>
    </w:p>
    <w:p>
      <w:pPr>
        <w:widowControl w:val="0"/>
        <w:snapToGrid w:val="0"/>
        <w:spacing w:before="120" w:after="120" w:afterLines="50" w:line="240" w:lineRule="auto"/>
        <w:jc w:val="both"/>
        <w:rPr>
          <w:i w:val="0"/>
          <w:iCs w:val="0"/>
          <w:sz w:val="20"/>
          <w:szCs w:val="20"/>
        </w:rPr>
      </w:pPr>
      <w:r>
        <w:rPr>
          <w:rFonts w:hint="eastAsia"/>
          <w:b/>
          <w:bCs w:val="0"/>
          <w:i/>
          <w:iCs/>
          <w:sz w:val="20"/>
          <w:szCs w:val="20"/>
        </w:rPr>
        <w:t>Observation</w:t>
      </w:r>
      <w:r>
        <w:rPr>
          <w:b/>
          <w:bCs w:val="0"/>
          <w:i/>
          <w:iCs/>
          <w:sz w:val="20"/>
          <w:szCs w:val="20"/>
        </w:rPr>
        <w:t>3</w:t>
      </w:r>
      <w:r>
        <w:rPr>
          <w:rFonts w:hint="eastAsia"/>
          <w:b/>
          <w:bCs w:val="0"/>
          <w:i/>
          <w:iCs/>
          <w:sz w:val="20"/>
          <w:szCs w:val="20"/>
        </w:rPr>
        <w:t>:</w:t>
      </w:r>
      <w:r>
        <w:rPr>
          <w:bCs/>
          <w:i/>
          <w:iCs/>
          <w:sz w:val="20"/>
          <w:szCs w:val="20"/>
        </w:rPr>
        <w:t xml:space="preserve"> SUL without PUCCH/PUSCH is a meaningless configuration.</w:t>
      </w:r>
    </w:p>
    <w:p>
      <w:pPr>
        <w:widowControl w:val="0"/>
        <w:snapToGrid w:val="0"/>
        <w:spacing w:before="120" w:after="120" w:afterLines="50" w:line="240" w:lineRule="auto"/>
        <w:jc w:val="both"/>
        <w:rPr>
          <w:i/>
          <w:iCs/>
          <w:sz w:val="20"/>
          <w:szCs w:val="20"/>
        </w:rPr>
      </w:pPr>
      <w:r>
        <w:rPr>
          <w:rFonts w:hint="eastAsia"/>
          <w:b/>
          <w:bCs/>
          <w:i/>
          <w:iCs/>
          <w:sz w:val="20"/>
          <w:szCs w:val="20"/>
        </w:rPr>
        <w:t xml:space="preserve">Proposal: </w:t>
      </w:r>
      <w:r>
        <w:rPr>
          <w:rFonts w:hint="eastAsia"/>
          <w:i/>
          <w:iCs/>
          <w:sz w:val="20"/>
          <w:szCs w:val="20"/>
        </w:rPr>
        <w:t xml:space="preserve"> </w:t>
      </w:r>
      <w:r>
        <w:rPr>
          <w:i/>
          <w:iCs/>
          <w:sz w:val="20"/>
          <w:szCs w:val="20"/>
        </w:rPr>
        <w:t xml:space="preserve">Reply to </w:t>
      </w:r>
      <w:r>
        <w:rPr>
          <w:rFonts w:hint="eastAsia"/>
          <w:i/>
          <w:iCs/>
          <w:sz w:val="20"/>
          <w:szCs w:val="20"/>
        </w:rPr>
        <w:t>th</w:t>
      </w:r>
      <w:r>
        <w:rPr>
          <w:i/>
          <w:iCs/>
          <w:sz w:val="20"/>
          <w:szCs w:val="20"/>
        </w:rPr>
        <w:t>e LS R1-2005209(R2-2006362) that n</w:t>
      </w:r>
      <w:r>
        <w:rPr>
          <w:rFonts w:hint="eastAsia"/>
          <w:i/>
          <w:iCs/>
          <w:sz w:val="20"/>
          <w:szCs w:val="20"/>
        </w:rPr>
        <w:t xml:space="preserve">either case 1 </w:t>
      </w:r>
      <w:r>
        <w:rPr>
          <w:rFonts w:hint="eastAsia"/>
          <w:i/>
          <w:iCs/>
          <w:sz w:val="20"/>
          <w:szCs w:val="20"/>
          <w:lang w:val="en-US" w:eastAsia="zh-CN"/>
        </w:rPr>
        <w:t xml:space="preserve">nor </w:t>
      </w:r>
      <w:r>
        <w:rPr>
          <w:rFonts w:hint="eastAsia"/>
          <w:i/>
          <w:iCs/>
          <w:sz w:val="20"/>
          <w:szCs w:val="20"/>
        </w:rPr>
        <w:t xml:space="preserve">case 2 listed in </w:t>
      </w:r>
      <w:r>
        <w:rPr>
          <w:i/>
          <w:iCs/>
          <w:sz w:val="20"/>
          <w:szCs w:val="20"/>
        </w:rPr>
        <w:t>the</w:t>
      </w:r>
      <w:r>
        <w:rPr>
          <w:rFonts w:hint="eastAsia"/>
          <w:i/>
          <w:iCs/>
          <w:sz w:val="20"/>
          <w:szCs w:val="20"/>
        </w:rPr>
        <w:t xml:space="preserve"> LS is allowed.</w:t>
      </w:r>
    </w:p>
    <w:p>
      <w:pPr>
        <w:snapToGrid w:val="0"/>
        <w:spacing w:before="120" w:beforeLines="50" w:after="120" w:afterLines="50" w:line="240" w:lineRule="auto"/>
        <w:jc w:val="both"/>
        <w:rPr>
          <w:i/>
          <w:iCs/>
          <w:sz w:val="20"/>
          <w:szCs w:val="20"/>
        </w:rPr>
      </w:pPr>
    </w:p>
    <w:p>
      <w:pPr>
        <w:pStyle w:val="2"/>
        <w:tabs>
          <w:tab w:val="clear" w:pos="432"/>
        </w:tabs>
        <w:snapToGrid w:val="0"/>
        <w:spacing w:before="120" w:beforeLines="50" w:after="120" w:afterLines="50"/>
        <w:ind w:left="431" w:hanging="431"/>
        <w:rPr>
          <w:sz w:val="28"/>
          <w:lang w:val="en-US"/>
        </w:rPr>
      </w:pPr>
      <w:r>
        <w:rPr>
          <w:rFonts w:hint="eastAsia"/>
          <w:sz w:val="28"/>
          <w:lang w:val="en-US"/>
        </w:rPr>
        <w:t>References</w:t>
      </w:r>
    </w:p>
    <w:p>
      <w:pPr>
        <w:pStyle w:val="75"/>
        <w:numPr>
          <w:ilvl w:val="0"/>
          <w:numId w:val="9"/>
        </w:numPr>
        <w:snapToGrid w:val="0"/>
        <w:rPr>
          <w:rFonts w:eastAsia="微软雅黑"/>
          <w:sz w:val="20"/>
          <w:szCs w:val="20"/>
        </w:rPr>
      </w:pPr>
      <w:r>
        <w:rPr>
          <w:iCs/>
          <w:sz w:val="20"/>
          <w:szCs w:val="20"/>
        </w:rPr>
        <w:t>R1-2005209(</w:t>
      </w:r>
      <w:r>
        <w:rPr>
          <w:rFonts w:hint="eastAsia" w:eastAsia="微软雅黑"/>
          <w:sz w:val="20"/>
          <w:szCs w:val="20"/>
          <w:lang w:val="sv-SE" w:eastAsia="ko-KR"/>
        </w:rPr>
        <w:t>R2-2006362</w:t>
      </w:r>
      <w:r>
        <w:rPr>
          <w:rFonts w:eastAsia="微软雅黑"/>
          <w:sz w:val="20"/>
          <w:szCs w:val="20"/>
          <w:lang w:val="sv-SE" w:eastAsia="ko-KR"/>
        </w:rPr>
        <w:t>)</w:t>
      </w:r>
      <w:r>
        <w:rPr>
          <w:rFonts w:hint="eastAsia" w:eastAsia="微软雅黑"/>
          <w:sz w:val="20"/>
          <w:szCs w:val="20"/>
        </w:rPr>
        <w:t xml:space="preserve">, LS on NR SRS carrier switching, Release 15, </w:t>
      </w:r>
      <w:r>
        <w:rPr>
          <w:rFonts w:hint="eastAsia" w:eastAsia="微软雅黑"/>
          <w:sz w:val="20"/>
          <w:szCs w:val="20"/>
          <w:lang w:val="sv-SE"/>
        </w:rPr>
        <w:t>TSG-RAN2 110-e</w:t>
      </w:r>
      <w:r>
        <w:rPr>
          <w:rFonts w:hint="eastAsia" w:eastAsia="微软雅黑"/>
          <w:sz w:val="20"/>
          <w:szCs w:val="20"/>
        </w:rPr>
        <w:t xml:space="preserve">, 1st - 12th June </w:t>
      </w:r>
      <w:bookmarkStart w:id="10" w:name="_GoBack"/>
      <w:bookmarkEnd w:id="10"/>
      <w:r>
        <w:rPr>
          <w:rFonts w:hint="eastAsia" w:eastAsia="微软雅黑"/>
          <w:sz w:val="20"/>
          <w:szCs w:val="20"/>
        </w:rPr>
        <w:t>2020</w:t>
      </w:r>
    </w:p>
    <w:p>
      <w:pPr>
        <w:pStyle w:val="75"/>
        <w:numPr>
          <w:ilvl w:val="0"/>
          <w:numId w:val="9"/>
        </w:numPr>
        <w:snapToGrid w:val="0"/>
        <w:rPr>
          <w:rFonts w:eastAsia="微软雅黑"/>
          <w:sz w:val="20"/>
          <w:szCs w:val="20"/>
        </w:rPr>
      </w:pPr>
      <w:r>
        <w:rPr>
          <w:rFonts w:hint="eastAsia" w:eastAsia="微软雅黑"/>
          <w:sz w:val="20"/>
          <w:szCs w:val="20"/>
        </w:rPr>
        <w:t xml:space="preserve">Chairman notes in RAN1#90bis meeting, </w:t>
      </w:r>
      <w:r>
        <w:rPr>
          <w:sz w:val="20"/>
        </w:rPr>
        <w:t>9</w:t>
      </w:r>
      <w:r>
        <w:rPr>
          <w:sz w:val="20"/>
          <w:vertAlign w:val="superscript"/>
        </w:rPr>
        <w:t>th</w:t>
      </w:r>
      <w:r>
        <w:rPr>
          <w:sz w:val="20"/>
        </w:rPr>
        <w:t xml:space="preserve"> – 13</w:t>
      </w:r>
      <w:r>
        <w:rPr>
          <w:sz w:val="20"/>
          <w:vertAlign w:val="superscript"/>
        </w:rPr>
        <w:t>th</w:t>
      </w:r>
      <w:r>
        <w:rPr>
          <w:sz w:val="20"/>
        </w:rPr>
        <w:t xml:space="preserve"> October 2017</w:t>
      </w:r>
    </w:p>
    <w:p>
      <w:pPr>
        <w:pStyle w:val="75"/>
        <w:numPr>
          <w:ilvl w:val="0"/>
          <w:numId w:val="9"/>
        </w:numPr>
        <w:snapToGrid w:val="0"/>
        <w:rPr>
          <w:rFonts w:eastAsia="微软雅黑"/>
          <w:sz w:val="20"/>
          <w:szCs w:val="20"/>
        </w:rPr>
      </w:pPr>
      <w:r>
        <w:rPr>
          <w:rFonts w:hint="eastAsia" w:eastAsia="微软雅黑"/>
          <w:sz w:val="20"/>
          <w:szCs w:val="20"/>
        </w:rPr>
        <w:t>38.101-1-fa0, User Equipment (UE) radio transmission and reception, Part 1: Range 1 Standalone, (Release 15)</w:t>
      </w:r>
    </w:p>
    <w:p>
      <w:pPr>
        <w:pStyle w:val="75"/>
        <w:numPr>
          <w:ilvl w:val="0"/>
          <w:numId w:val="9"/>
        </w:numPr>
        <w:snapToGrid w:val="0"/>
        <w:rPr>
          <w:bCs/>
          <w:sz w:val="20"/>
          <w:szCs w:val="20"/>
        </w:rPr>
      </w:pPr>
      <w:r>
        <w:rPr>
          <w:rFonts w:hint="eastAsia"/>
          <w:bCs/>
          <w:sz w:val="20"/>
          <w:szCs w:val="20"/>
        </w:rPr>
        <w:t>TS 38.214 fa0, Physical layer procedures for data, V15.10.0.</w:t>
      </w:r>
    </w:p>
    <w:p>
      <w:pPr>
        <w:pStyle w:val="75"/>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5E6D33"/>
    <w:multiLevelType w:val="singleLevel"/>
    <w:tmpl w:val="A55E6D33"/>
    <w:lvl w:ilvl="0" w:tentative="0">
      <w:start w:val="6"/>
      <w:numFmt w:val="decimal"/>
      <w:suff w:val="space"/>
      <w:lvlText w:val="%1."/>
      <w:lvlJc w:val="left"/>
    </w:lvl>
  </w:abstractNum>
  <w:abstractNum w:abstractNumId="1">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14"/>
      <w:lvlText w:val="[%1]"/>
      <w:lvlJc w:val="left"/>
      <w:pPr>
        <w:tabs>
          <w:tab w:val="left" w:pos="360"/>
        </w:tabs>
        <w:ind w:left="360" w:hanging="360"/>
      </w:pPr>
    </w:lvl>
  </w:abstractNum>
  <w:abstractNum w:abstractNumId="5">
    <w:nsid w:val="426E4E82"/>
    <w:multiLevelType w:val="singleLevel"/>
    <w:tmpl w:val="426E4E82"/>
    <w:lvl w:ilvl="0" w:tentative="0">
      <w:start w:val="1"/>
      <w:numFmt w:val="decimal"/>
      <w:suff w:val="space"/>
      <w:lvlText w:val="[%1]"/>
      <w:lvlJc w:val="left"/>
    </w:lvl>
  </w:abstractNum>
  <w:abstractNum w:abstractNumId="6">
    <w:nsid w:val="5B2559D7"/>
    <w:multiLevelType w:val="multilevel"/>
    <w:tmpl w:val="5B2559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E627B08"/>
    <w:multiLevelType w:val="multilevel"/>
    <w:tmpl w:val="6E627B0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8"/>
  </w:num>
  <w:num w:numId="4">
    <w:abstractNumId w:val="3"/>
  </w:num>
  <w:num w:numId="5">
    <w:abstractNumId w:val="4"/>
  </w:num>
  <w:num w:numId="6">
    <w:abstractNumId w:val="7"/>
  </w:num>
  <w:num w:numId="7">
    <w:abstractNumId w:val="6"/>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3A61"/>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88"/>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952"/>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B78"/>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629"/>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C45"/>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6FE"/>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23B"/>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2ED"/>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82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6CC"/>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6F4"/>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4B2"/>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901"/>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12C"/>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82A"/>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06"/>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228"/>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57BCF"/>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726"/>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15454E"/>
    <w:rsid w:val="011F6F40"/>
    <w:rsid w:val="01242C11"/>
    <w:rsid w:val="0134424B"/>
    <w:rsid w:val="013B5510"/>
    <w:rsid w:val="013D13C6"/>
    <w:rsid w:val="01422B07"/>
    <w:rsid w:val="01462EFE"/>
    <w:rsid w:val="015E0BE9"/>
    <w:rsid w:val="01604E60"/>
    <w:rsid w:val="01812B89"/>
    <w:rsid w:val="018F1416"/>
    <w:rsid w:val="01A857AA"/>
    <w:rsid w:val="01AB094A"/>
    <w:rsid w:val="01AE21DC"/>
    <w:rsid w:val="01B306E4"/>
    <w:rsid w:val="01D27A5F"/>
    <w:rsid w:val="01F6374D"/>
    <w:rsid w:val="01FB1984"/>
    <w:rsid w:val="0201766A"/>
    <w:rsid w:val="020F09B3"/>
    <w:rsid w:val="02142A52"/>
    <w:rsid w:val="02151F95"/>
    <w:rsid w:val="022E47B0"/>
    <w:rsid w:val="02554999"/>
    <w:rsid w:val="02574326"/>
    <w:rsid w:val="025B75F9"/>
    <w:rsid w:val="02767EF6"/>
    <w:rsid w:val="02B34E07"/>
    <w:rsid w:val="02B43EF4"/>
    <w:rsid w:val="02BB7BEC"/>
    <w:rsid w:val="02BC3837"/>
    <w:rsid w:val="02E818F1"/>
    <w:rsid w:val="030F5EB8"/>
    <w:rsid w:val="031B3D3A"/>
    <w:rsid w:val="03300F14"/>
    <w:rsid w:val="03382F46"/>
    <w:rsid w:val="033A53C5"/>
    <w:rsid w:val="033D7365"/>
    <w:rsid w:val="034140B1"/>
    <w:rsid w:val="03446D0A"/>
    <w:rsid w:val="037C375A"/>
    <w:rsid w:val="037C5BED"/>
    <w:rsid w:val="038670DC"/>
    <w:rsid w:val="03871F70"/>
    <w:rsid w:val="038E73DC"/>
    <w:rsid w:val="03915486"/>
    <w:rsid w:val="039B0F0F"/>
    <w:rsid w:val="03A730F0"/>
    <w:rsid w:val="03AC2CA7"/>
    <w:rsid w:val="03AE2B70"/>
    <w:rsid w:val="03BB2794"/>
    <w:rsid w:val="03C03782"/>
    <w:rsid w:val="03C200B6"/>
    <w:rsid w:val="03D81924"/>
    <w:rsid w:val="03DF28F3"/>
    <w:rsid w:val="03E9024B"/>
    <w:rsid w:val="03E925DE"/>
    <w:rsid w:val="03F638B5"/>
    <w:rsid w:val="03FF71C6"/>
    <w:rsid w:val="04177011"/>
    <w:rsid w:val="042B188D"/>
    <w:rsid w:val="04314521"/>
    <w:rsid w:val="043A302C"/>
    <w:rsid w:val="043F479D"/>
    <w:rsid w:val="0451641C"/>
    <w:rsid w:val="046A03D5"/>
    <w:rsid w:val="046A5648"/>
    <w:rsid w:val="046C35A2"/>
    <w:rsid w:val="0485355C"/>
    <w:rsid w:val="04884422"/>
    <w:rsid w:val="0492209E"/>
    <w:rsid w:val="04AC4C6E"/>
    <w:rsid w:val="04B345F7"/>
    <w:rsid w:val="04BE7DD0"/>
    <w:rsid w:val="04EB3650"/>
    <w:rsid w:val="04F92EC2"/>
    <w:rsid w:val="050D0125"/>
    <w:rsid w:val="05156B72"/>
    <w:rsid w:val="051F57F4"/>
    <w:rsid w:val="053674E2"/>
    <w:rsid w:val="054445DB"/>
    <w:rsid w:val="055A06C9"/>
    <w:rsid w:val="056263D6"/>
    <w:rsid w:val="05702DF2"/>
    <w:rsid w:val="05733EFD"/>
    <w:rsid w:val="058B4F67"/>
    <w:rsid w:val="058D2653"/>
    <w:rsid w:val="05930449"/>
    <w:rsid w:val="05A11E98"/>
    <w:rsid w:val="05A67D15"/>
    <w:rsid w:val="05DC2171"/>
    <w:rsid w:val="05EA3121"/>
    <w:rsid w:val="05EB37CA"/>
    <w:rsid w:val="05EF39F0"/>
    <w:rsid w:val="05F12171"/>
    <w:rsid w:val="060D79A1"/>
    <w:rsid w:val="060E0069"/>
    <w:rsid w:val="060E00E0"/>
    <w:rsid w:val="06257099"/>
    <w:rsid w:val="06365C0B"/>
    <w:rsid w:val="0637179F"/>
    <w:rsid w:val="064A751F"/>
    <w:rsid w:val="06635B0D"/>
    <w:rsid w:val="066441C3"/>
    <w:rsid w:val="06646933"/>
    <w:rsid w:val="067751BD"/>
    <w:rsid w:val="06AC2F9E"/>
    <w:rsid w:val="06AF0BCC"/>
    <w:rsid w:val="06B87B02"/>
    <w:rsid w:val="06C00728"/>
    <w:rsid w:val="06CF7159"/>
    <w:rsid w:val="06D32D7E"/>
    <w:rsid w:val="06DB55F7"/>
    <w:rsid w:val="06E21138"/>
    <w:rsid w:val="06E64C63"/>
    <w:rsid w:val="06F24EF2"/>
    <w:rsid w:val="06F77157"/>
    <w:rsid w:val="07212CF9"/>
    <w:rsid w:val="07355090"/>
    <w:rsid w:val="07470651"/>
    <w:rsid w:val="075815C4"/>
    <w:rsid w:val="075D44E8"/>
    <w:rsid w:val="079C1647"/>
    <w:rsid w:val="07AE7932"/>
    <w:rsid w:val="07B814E5"/>
    <w:rsid w:val="07C6087A"/>
    <w:rsid w:val="07D013A8"/>
    <w:rsid w:val="07D05651"/>
    <w:rsid w:val="07D648D8"/>
    <w:rsid w:val="07F65E31"/>
    <w:rsid w:val="07FD44E9"/>
    <w:rsid w:val="0805407D"/>
    <w:rsid w:val="080B2898"/>
    <w:rsid w:val="08127126"/>
    <w:rsid w:val="08132E8B"/>
    <w:rsid w:val="081D706E"/>
    <w:rsid w:val="084808B7"/>
    <w:rsid w:val="085D519A"/>
    <w:rsid w:val="086D1BC3"/>
    <w:rsid w:val="08706B4B"/>
    <w:rsid w:val="08857880"/>
    <w:rsid w:val="088B79C8"/>
    <w:rsid w:val="088D0913"/>
    <w:rsid w:val="08C673B3"/>
    <w:rsid w:val="08C7416F"/>
    <w:rsid w:val="08C94E52"/>
    <w:rsid w:val="08CE61CB"/>
    <w:rsid w:val="08D2064E"/>
    <w:rsid w:val="08F44BC5"/>
    <w:rsid w:val="08FA203B"/>
    <w:rsid w:val="09007005"/>
    <w:rsid w:val="091F31A7"/>
    <w:rsid w:val="094B14E7"/>
    <w:rsid w:val="095256C8"/>
    <w:rsid w:val="09565920"/>
    <w:rsid w:val="09A3492C"/>
    <w:rsid w:val="09A57975"/>
    <w:rsid w:val="09AB18BD"/>
    <w:rsid w:val="09AB29D4"/>
    <w:rsid w:val="09B264B8"/>
    <w:rsid w:val="09FB5F6B"/>
    <w:rsid w:val="0A1565F2"/>
    <w:rsid w:val="0A2B7484"/>
    <w:rsid w:val="0A32370E"/>
    <w:rsid w:val="0A3247B9"/>
    <w:rsid w:val="0A3A2B0E"/>
    <w:rsid w:val="0A3C1414"/>
    <w:rsid w:val="0A4D77EE"/>
    <w:rsid w:val="0A585A2D"/>
    <w:rsid w:val="0A594E3E"/>
    <w:rsid w:val="0A5C768D"/>
    <w:rsid w:val="0A5D62D4"/>
    <w:rsid w:val="0A5E4CD6"/>
    <w:rsid w:val="0A656753"/>
    <w:rsid w:val="0A6F50FD"/>
    <w:rsid w:val="0A7E1124"/>
    <w:rsid w:val="0A934843"/>
    <w:rsid w:val="0A980D85"/>
    <w:rsid w:val="0A9E4A8D"/>
    <w:rsid w:val="0A9F2012"/>
    <w:rsid w:val="0AA27CFB"/>
    <w:rsid w:val="0AAA6D9C"/>
    <w:rsid w:val="0AB53627"/>
    <w:rsid w:val="0ABB4F01"/>
    <w:rsid w:val="0AC10A13"/>
    <w:rsid w:val="0ACE1EAB"/>
    <w:rsid w:val="0AD171C9"/>
    <w:rsid w:val="0ADE43C7"/>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7D7F14"/>
    <w:rsid w:val="0B827907"/>
    <w:rsid w:val="0B8849CF"/>
    <w:rsid w:val="0B8C4C1A"/>
    <w:rsid w:val="0B9549DB"/>
    <w:rsid w:val="0B9D13EC"/>
    <w:rsid w:val="0BA07E46"/>
    <w:rsid w:val="0BA834A7"/>
    <w:rsid w:val="0BC032D6"/>
    <w:rsid w:val="0BC10793"/>
    <w:rsid w:val="0BDB1E35"/>
    <w:rsid w:val="0BDB6546"/>
    <w:rsid w:val="0BF52B11"/>
    <w:rsid w:val="0C195365"/>
    <w:rsid w:val="0C6F4E58"/>
    <w:rsid w:val="0C79620C"/>
    <w:rsid w:val="0C807138"/>
    <w:rsid w:val="0C9038BA"/>
    <w:rsid w:val="0CA5047D"/>
    <w:rsid w:val="0CFA665D"/>
    <w:rsid w:val="0CFB1DB9"/>
    <w:rsid w:val="0D0C00B1"/>
    <w:rsid w:val="0D220294"/>
    <w:rsid w:val="0D364E6E"/>
    <w:rsid w:val="0D3A4A42"/>
    <w:rsid w:val="0D4C4FBA"/>
    <w:rsid w:val="0D5773D6"/>
    <w:rsid w:val="0D594DB6"/>
    <w:rsid w:val="0D624EF7"/>
    <w:rsid w:val="0D631A5D"/>
    <w:rsid w:val="0D632B1E"/>
    <w:rsid w:val="0D703D4A"/>
    <w:rsid w:val="0D735D87"/>
    <w:rsid w:val="0D7D7848"/>
    <w:rsid w:val="0D8E173E"/>
    <w:rsid w:val="0DA10A04"/>
    <w:rsid w:val="0DF13B47"/>
    <w:rsid w:val="0DF33D23"/>
    <w:rsid w:val="0E0406CA"/>
    <w:rsid w:val="0E0A5187"/>
    <w:rsid w:val="0E2B44DB"/>
    <w:rsid w:val="0E332166"/>
    <w:rsid w:val="0E3917FF"/>
    <w:rsid w:val="0E3C303C"/>
    <w:rsid w:val="0E613656"/>
    <w:rsid w:val="0E72787E"/>
    <w:rsid w:val="0E7665D7"/>
    <w:rsid w:val="0E9F5739"/>
    <w:rsid w:val="0EA16314"/>
    <w:rsid w:val="0EBC0841"/>
    <w:rsid w:val="0EBF7E3F"/>
    <w:rsid w:val="0EC3008E"/>
    <w:rsid w:val="0ECE31B6"/>
    <w:rsid w:val="0ED34C89"/>
    <w:rsid w:val="0EDB339F"/>
    <w:rsid w:val="0EF07E6C"/>
    <w:rsid w:val="0F125211"/>
    <w:rsid w:val="0F132976"/>
    <w:rsid w:val="0F152A9D"/>
    <w:rsid w:val="0F1E7B0D"/>
    <w:rsid w:val="0F62047F"/>
    <w:rsid w:val="0F6B41F3"/>
    <w:rsid w:val="0F734943"/>
    <w:rsid w:val="0F795535"/>
    <w:rsid w:val="0F7A2097"/>
    <w:rsid w:val="0F7F1100"/>
    <w:rsid w:val="0F816B6A"/>
    <w:rsid w:val="0F82210C"/>
    <w:rsid w:val="0F950757"/>
    <w:rsid w:val="0FA36B70"/>
    <w:rsid w:val="0FA37671"/>
    <w:rsid w:val="0FAC2C6D"/>
    <w:rsid w:val="0FB2394D"/>
    <w:rsid w:val="0FB70395"/>
    <w:rsid w:val="0FBA4112"/>
    <w:rsid w:val="0FBB10D0"/>
    <w:rsid w:val="0FC76383"/>
    <w:rsid w:val="0FCF0D56"/>
    <w:rsid w:val="0FD554F0"/>
    <w:rsid w:val="0FDA6A10"/>
    <w:rsid w:val="0FE84CBD"/>
    <w:rsid w:val="0FEB3AA8"/>
    <w:rsid w:val="0FF411B5"/>
    <w:rsid w:val="0FF6424F"/>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42628A"/>
    <w:rsid w:val="115675D1"/>
    <w:rsid w:val="115730B6"/>
    <w:rsid w:val="115C21C0"/>
    <w:rsid w:val="1168799E"/>
    <w:rsid w:val="11886383"/>
    <w:rsid w:val="11945663"/>
    <w:rsid w:val="11A64DBC"/>
    <w:rsid w:val="11AF324A"/>
    <w:rsid w:val="11B412CF"/>
    <w:rsid w:val="11D57FF6"/>
    <w:rsid w:val="11E23A90"/>
    <w:rsid w:val="11E824A4"/>
    <w:rsid w:val="11EA0026"/>
    <w:rsid w:val="11FA3D21"/>
    <w:rsid w:val="11FD67BF"/>
    <w:rsid w:val="1228310E"/>
    <w:rsid w:val="12325B1D"/>
    <w:rsid w:val="1244691E"/>
    <w:rsid w:val="1251591B"/>
    <w:rsid w:val="12555F1C"/>
    <w:rsid w:val="12610602"/>
    <w:rsid w:val="12641F7B"/>
    <w:rsid w:val="1269339E"/>
    <w:rsid w:val="126B461E"/>
    <w:rsid w:val="1270050B"/>
    <w:rsid w:val="127D72F2"/>
    <w:rsid w:val="12943772"/>
    <w:rsid w:val="12A908D3"/>
    <w:rsid w:val="12AA7F02"/>
    <w:rsid w:val="12D17916"/>
    <w:rsid w:val="12DE33CA"/>
    <w:rsid w:val="12EE6B97"/>
    <w:rsid w:val="12FF52DE"/>
    <w:rsid w:val="13207705"/>
    <w:rsid w:val="13277105"/>
    <w:rsid w:val="13344C16"/>
    <w:rsid w:val="1343505A"/>
    <w:rsid w:val="13544A6B"/>
    <w:rsid w:val="135774B6"/>
    <w:rsid w:val="137A40BD"/>
    <w:rsid w:val="13910B1E"/>
    <w:rsid w:val="13981BF4"/>
    <w:rsid w:val="13B563DA"/>
    <w:rsid w:val="13BD31AB"/>
    <w:rsid w:val="13CD27B6"/>
    <w:rsid w:val="13D87D5C"/>
    <w:rsid w:val="13E532CA"/>
    <w:rsid w:val="13ED0B0B"/>
    <w:rsid w:val="13ED7D7F"/>
    <w:rsid w:val="14176353"/>
    <w:rsid w:val="141F7FB3"/>
    <w:rsid w:val="14242FDA"/>
    <w:rsid w:val="14436E72"/>
    <w:rsid w:val="144F55C3"/>
    <w:rsid w:val="1450322B"/>
    <w:rsid w:val="14637D36"/>
    <w:rsid w:val="14736556"/>
    <w:rsid w:val="147E33CA"/>
    <w:rsid w:val="147E64C2"/>
    <w:rsid w:val="1487373C"/>
    <w:rsid w:val="14960C1B"/>
    <w:rsid w:val="14B0700C"/>
    <w:rsid w:val="14C02505"/>
    <w:rsid w:val="14C34089"/>
    <w:rsid w:val="14DB33FC"/>
    <w:rsid w:val="14DE0AFC"/>
    <w:rsid w:val="14DF0A9B"/>
    <w:rsid w:val="14E23E9C"/>
    <w:rsid w:val="14EB7097"/>
    <w:rsid w:val="14F44F2E"/>
    <w:rsid w:val="150539C4"/>
    <w:rsid w:val="151D2D32"/>
    <w:rsid w:val="15296D7A"/>
    <w:rsid w:val="152C2024"/>
    <w:rsid w:val="15416178"/>
    <w:rsid w:val="154F0E86"/>
    <w:rsid w:val="155D38A9"/>
    <w:rsid w:val="1561603B"/>
    <w:rsid w:val="1576054B"/>
    <w:rsid w:val="158F48E5"/>
    <w:rsid w:val="15A019B7"/>
    <w:rsid w:val="15A34322"/>
    <w:rsid w:val="15B5333A"/>
    <w:rsid w:val="15C94A90"/>
    <w:rsid w:val="15CB29B5"/>
    <w:rsid w:val="15D267E2"/>
    <w:rsid w:val="15D74588"/>
    <w:rsid w:val="15E07D76"/>
    <w:rsid w:val="15EB4378"/>
    <w:rsid w:val="15FD7798"/>
    <w:rsid w:val="160B185E"/>
    <w:rsid w:val="161059D3"/>
    <w:rsid w:val="161334A9"/>
    <w:rsid w:val="16172700"/>
    <w:rsid w:val="16192850"/>
    <w:rsid w:val="1628036C"/>
    <w:rsid w:val="16356835"/>
    <w:rsid w:val="16435A3F"/>
    <w:rsid w:val="16530C27"/>
    <w:rsid w:val="16704155"/>
    <w:rsid w:val="16796F0F"/>
    <w:rsid w:val="1688556A"/>
    <w:rsid w:val="16A00FDF"/>
    <w:rsid w:val="16A32AAC"/>
    <w:rsid w:val="16A602FA"/>
    <w:rsid w:val="16AD0D52"/>
    <w:rsid w:val="16AF0615"/>
    <w:rsid w:val="16BD0B49"/>
    <w:rsid w:val="16BE212C"/>
    <w:rsid w:val="16BF160E"/>
    <w:rsid w:val="16D50CFC"/>
    <w:rsid w:val="16E33AB3"/>
    <w:rsid w:val="16EB76EF"/>
    <w:rsid w:val="171B0546"/>
    <w:rsid w:val="172D32DE"/>
    <w:rsid w:val="17304A49"/>
    <w:rsid w:val="173353C2"/>
    <w:rsid w:val="17551C37"/>
    <w:rsid w:val="175D177A"/>
    <w:rsid w:val="17607554"/>
    <w:rsid w:val="176E1BAD"/>
    <w:rsid w:val="177616EF"/>
    <w:rsid w:val="17874ED3"/>
    <w:rsid w:val="17886A2C"/>
    <w:rsid w:val="178F26E7"/>
    <w:rsid w:val="17966843"/>
    <w:rsid w:val="17A9660F"/>
    <w:rsid w:val="17B26217"/>
    <w:rsid w:val="17BF1F1F"/>
    <w:rsid w:val="17C21C5F"/>
    <w:rsid w:val="17C50EC0"/>
    <w:rsid w:val="17CF2B25"/>
    <w:rsid w:val="17D11BCA"/>
    <w:rsid w:val="17D80F4C"/>
    <w:rsid w:val="17DF30CF"/>
    <w:rsid w:val="17E14521"/>
    <w:rsid w:val="18002CEE"/>
    <w:rsid w:val="18117661"/>
    <w:rsid w:val="182D61BD"/>
    <w:rsid w:val="18417519"/>
    <w:rsid w:val="18523ADE"/>
    <w:rsid w:val="185352EF"/>
    <w:rsid w:val="1866694B"/>
    <w:rsid w:val="18695AD1"/>
    <w:rsid w:val="186C1ACE"/>
    <w:rsid w:val="18733C17"/>
    <w:rsid w:val="1875028D"/>
    <w:rsid w:val="188C6C7D"/>
    <w:rsid w:val="18960812"/>
    <w:rsid w:val="189C7EF6"/>
    <w:rsid w:val="18A2454D"/>
    <w:rsid w:val="18B04B4D"/>
    <w:rsid w:val="18BE184E"/>
    <w:rsid w:val="18C54C83"/>
    <w:rsid w:val="18E87E12"/>
    <w:rsid w:val="18F5052C"/>
    <w:rsid w:val="190B3022"/>
    <w:rsid w:val="19126946"/>
    <w:rsid w:val="191D14D9"/>
    <w:rsid w:val="19693EEF"/>
    <w:rsid w:val="196B5F41"/>
    <w:rsid w:val="19A60417"/>
    <w:rsid w:val="19D1732F"/>
    <w:rsid w:val="19E3218E"/>
    <w:rsid w:val="19FB705A"/>
    <w:rsid w:val="1A1F3FD5"/>
    <w:rsid w:val="1A200A74"/>
    <w:rsid w:val="1A214283"/>
    <w:rsid w:val="1A2F2398"/>
    <w:rsid w:val="1A3055B8"/>
    <w:rsid w:val="1A3B63B1"/>
    <w:rsid w:val="1A3C21DE"/>
    <w:rsid w:val="1A5655AF"/>
    <w:rsid w:val="1A596E54"/>
    <w:rsid w:val="1A6B5CD7"/>
    <w:rsid w:val="1A7A6856"/>
    <w:rsid w:val="1A7D574E"/>
    <w:rsid w:val="1A9B675D"/>
    <w:rsid w:val="1A9D3722"/>
    <w:rsid w:val="1AD12738"/>
    <w:rsid w:val="1ADE3E70"/>
    <w:rsid w:val="1AE42348"/>
    <w:rsid w:val="1AF10B1E"/>
    <w:rsid w:val="1AF2383D"/>
    <w:rsid w:val="1B142EC2"/>
    <w:rsid w:val="1B157C1A"/>
    <w:rsid w:val="1B18309B"/>
    <w:rsid w:val="1B211C8A"/>
    <w:rsid w:val="1B325062"/>
    <w:rsid w:val="1B524130"/>
    <w:rsid w:val="1B5734B2"/>
    <w:rsid w:val="1B5D6081"/>
    <w:rsid w:val="1B5E30D3"/>
    <w:rsid w:val="1B99173F"/>
    <w:rsid w:val="1B9E5782"/>
    <w:rsid w:val="1B9F2F5B"/>
    <w:rsid w:val="1BA31D38"/>
    <w:rsid w:val="1BB15A38"/>
    <w:rsid w:val="1BB32D92"/>
    <w:rsid w:val="1BBA5362"/>
    <w:rsid w:val="1BCA4E13"/>
    <w:rsid w:val="1BE45BB2"/>
    <w:rsid w:val="1BE67B21"/>
    <w:rsid w:val="1BE75134"/>
    <w:rsid w:val="1BEB39AC"/>
    <w:rsid w:val="1C3C5A93"/>
    <w:rsid w:val="1C3D2E04"/>
    <w:rsid w:val="1C3D5C01"/>
    <w:rsid w:val="1C4852DE"/>
    <w:rsid w:val="1C4D45E0"/>
    <w:rsid w:val="1C622843"/>
    <w:rsid w:val="1C796F99"/>
    <w:rsid w:val="1C8C420B"/>
    <w:rsid w:val="1C956DAD"/>
    <w:rsid w:val="1CA62478"/>
    <w:rsid w:val="1CB701AA"/>
    <w:rsid w:val="1CC207D7"/>
    <w:rsid w:val="1CCA0F66"/>
    <w:rsid w:val="1CDE446D"/>
    <w:rsid w:val="1CE20210"/>
    <w:rsid w:val="1D1E39BB"/>
    <w:rsid w:val="1D2A205C"/>
    <w:rsid w:val="1D376839"/>
    <w:rsid w:val="1D464FEE"/>
    <w:rsid w:val="1D512EC4"/>
    <w:rsid w:val="1D516316"/>
    <w:rsid w:val="1D5247B9"/>
    <w:rsid w:val="1D644902"/>
    <w:rsid w:val="1D6B4AB9"/>
    <w:rsid w:val="1D8C2BA2"/>
    <w:rsid w:val="1D905228"/>
    <w:rsid w:val="1D986564"/>
    <w:rsid w:val="1DCB6A81"/>
    <w:rsid w:val="1DCC2895"/>
    <w:rsid w:val="1DEC0D25"/>
    <w:rsid w:val="1DF24DA6"/>
    <w:rsid w:val="1DF43659"/>
    <w:rsid w:val="1DFC21EE"/>
    <w:rsid w:val="1E0B084C"/>
    <w:rsid w:val="1E4473F8"/>
    <w:rsid w:val="1E4718FA"/>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F23920"/>
    <w:rsid w:val="1EFD1BA0"/>
    <w:rsid w:val="1F234826"/>
    <w:rsid w:val="1F282079"/>
    <w:rsid w:val="1F46170F"/>
    <w:rsid w:val="1F4773C4"/>
    <w:rsid w:val="1F5E0D38"/>
    <w:rsid w:val="1F5E50F9"/>
    <w:rsid w:val="1F5F4414"/>
    <w:rsid w:val="1F671ED4"/>
    <w:rsid w:val="1F826970"/>
    <w:rsid w:val="1F972A67"/>
    <w:rsid w:val="1FA317AB"/>
    <w:rsid w:val="1FB24BB6"/>
    <w:rsid w:val="1FBF07C7"/>
    <w:rsid w:val="1FCB673D"/>
    <w:rsid w:val="1FD4483E"/>
    <w:rsid w:val="1FEE648E"/>
    <w:rsid w:val="1FF433BA"/>
    <w:rsid w:val="1FF9202F"/>
    <w:rsid w:val="20003026"/>
    <w:rsid w:val="20023248"/>
    <w:rsid w:val="200F3B23"/>
    <w:rsid w:val="201967D7"/>
    <w:rsid w:val="20374786"/>
    <w:rsid w:val="2039386F"/>
    <w:rsid w:val="204A6AED"/>
    <w:rsid w:val="205455CF"/>
    <w:rsid w:val="205A0DCC"/>
    <w:rsid w:val="205E4F6E"/>
    <w:rsid w:val="20601C10"/>
    <w:rsid w:val="206E6FCB"/>
    <w:rsid w:val="20757C7B"/>
    <w:rsid w:val="208B5C61"/>
    <w:rsid w:val="20A13861"/>
    <w:rsid w:val="20AE0517"/>
    <w:rsid w:val="20B53392"/>
    <w:rsid w:val="20BB0C31"/>
    <w:rsid w:val="20CF37FC"/>
    <w:rsid w:val="20D717F3"/>
    <w:rsid w:val="20E54719"/>
    <w:rsid w:val="20F12135"/>
    <w:rsid w:val="20F90AAC"/>
    <w:rsid w:val="20FA405B"/>
    <w:rsid w:val="210A4280"/>
    <w:rsid w:val="212B616E"/>
    <w:rsid w:val="213121BA"/>
    <w:rsid w:val="214A2960"/>
    <w:rsid w:val="215302B9"/>
    <w:rsid w:val="21831373"/>
    <w:rsid w:val="218E4A09"/>
    <w:rsid w:val="218E6399"/>
    <w:rsid w:val="21A26FC2"/>
    <w:rsid w:val="21C2743B"/>
    <w:rsid w:val="21CA2A4F"/>
    <w:rsid w:val="21DF3292"/>
    <w:rsid w:val="221D08F3"/>
    <w:rsid w:val="2229623B"/>
    <w:rsid w:val="222C2E44"/>
    <w:rsid w:val="22381B39"/>
    <w:rsid w:val="22477192"/>
    <w:rsid w:val="224C2951"/>
    <w:rsid w:val="227A54E3"/>
    <w:rsid w:val="22865CFC"/>
    <w:rsid w:val="228C373A"/>
    <w:rsid w:val="228F19CE"/>
    <w:rsid w:val="22BD3256"/>
    <w:rsid w:val="22D07449"/>
    <w:rsid w:val="22E30ED4"/>
    <w:rsid w:val="22FC2CB0"/>
    <w:rsid w:val="230B248C"/>
    <w:rsid w:val="231E3ED2"/>
    <w:rsid w:val="23210D0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242FB8"/>
    <w:rsid w:val="242673BD"/>
    <w:rsid w:val="24351B4F"/>
    <w:rsid w:val="24576A62"/>
    <w:rsid w:val="246E76BE"/>
    <w:rsid w:val="24762507"/>
    <w:rsid w:val="24863B93"/>
    <w:rsid w:val="248E65E2"/>
    <w:rsid w:val="24B346B5"/>
    <w:rsid w:val="24B4013C"/>
    <w:rsid w:val="24B606B7"/>
    <w:rsid w:val="24DA59DC"/>
    <w:rsid w:val="24EC3BCA"/>
    <w:rsid w:val="24EF6448"/>
    <w:rsid w:val="24F71B8F"/>
    <w:rsid w:val="24F92CDE"/>
    <w:rsid w:val="250C0B5D"/>
    <w:rsid w:val="25335BFF"/>
    <w:rsid w:val="253D4E51"/>
    <w:rsid w:val="25462DA6"/>
    <w:rsid w:val="25893EFE"/>
    <w:rsid w:val="258E5458"/>
    <w:rsid w:val="25B36793"/>
    <w:rsid w:val="25BE6749"/>
    <w:rsid w:val="25C176E4"/>
    <w:rsid w:val="25DE0185"/>
    <w:rsid w:val="25E04003"/>
    <w:rsid w:val="25E73266"/>
    <w:rsid w:val="25EE6875"/>
    <w:rsid w:val="25FD346F"/>
    <w:rsid w:val="26006E86"/>
    <w:rsid w:val="260A6745"/>
    <w:rsid w:val="260C334C"/>
    <w:rsid w:val="26276BC7"/>
    <w:rsid w:val="26412189"/>
    <w:rsid w:val="26517452"/>
    <w:rsid w:val="26566E1C"/>
    <w:rsid w:val="26876FB0"/>
    <w:rsid w:val="269171E1"/>
    <w:rsid w:val="26A10A64"/>
    <w:rsid w:val="26A24282"/>
    <w:rsid w:val="26BB6790"/>
    <w:rsid w:val="26C31398"/>
    <w:rsid w:val="26C55ACD"/>
    <w:rsid w:val="26C84C3F"/>
    <w:rsid w:val="26CA39FA"/>
    <w:rsid w:val="26CB68C2"/>
    <w:rsid w:val="26DB2072"/>
    <w:rsid w:val="270F1235"/>
    <w:rsid w:val="27113562"/>
    <w:rsid w:val="271D238B"/>
    <w:rsid w:val="271F0CF7"/>
    <w:rsid w:val="273460AC"/>
    <w:rsid w:val="2737495D"/>
    <w:rsid w:val="27660E1F"/>
    <w:rsid w:val="27706C4B"/>
    <w:rsid w:val="27862FAB"/>
    <w:rsid w:val="278F67DD"/>
    <w:rsid w:val="279569C3"/>
    <w:rsid w:val="2796736E"/>
    <w:rsid w:val="279D410D"/>
    <w:rsid w:val="279F4FD0"/>
    <w:rsid w:val="27A32FE4"/>
    <w:rsid w:val="27A56D20"/>
    <w:rsid w:val="27AD00F2"/>
    <w:rsid w:val="27B23784"/>
    <w:rsid w:val="27B778B7"/>
    <w:rsid w:val="27CE4805"/>
    <w:rsid w:val="27DC01C9"/>
    <w:rsid w:val="27EA6D62"/>
    <w:rsid w:val="27FC5E6B"/>
    <w:rsid w:val="280574E4"/>
    <w:rsid w:val="28300784"/>
    <w:rsid w:val="28422321"/>
    <w:rsid w:val="28630E79"/>
    <w:rsid w:val="287C2A44"/>
    <w:rsid w:val="289E6725"/>
    <w:rsid w:val="28B16531"/>
    <w:rsid w:val="28D175E3"/>
    <w:rsid w:val="28FC701F"/>
    <w:rsid w:val="29026E62"/>
    <w:rsid w:val="29057EC1"/>
    <w:rsid w:val="290E28AF"/>
    <w:rsid w:val="291A5737"/>
    <w:rsid w:val="292011C8"/>
    <w:rsid w:val="293757A5"/>
    <w:rsid w:val="293D0E03"/>
    <w:rsid w:val="293F5958"/>
    <w:rsid w:val="294A094A"/>
    <w:rsid w:val="296E301E"/>
    <w:rsid w:val="296E321C"/>
    <w:rsid w:val="299517C8"/>
    <w:rsid w:val="29A711B7"/>
    <w:rsid w:val="29BD6A3D"/>
    <w:rsid w:val="29C52E87"/>
    <w:rsid w:val="29C71D66"/>
    <w:rsid w:val="29CA1269"/>
    <w:rsid w:val="29D9317B"/>
    <w:rsid w:val="29DF2E24"/>
    <w:rsid w:val="29DF7E93"/>
    <w:rsid w:val="29F04EAF"/>
    <w:rsid w:val="29F116D0"/>
    <w:rsid w:val="2A0241CA"/>
    <w:rsid w:val="2A0540EF"/>
    <w:rsid w:val="2A0777DB"/>
    <w:rsid w:val="2A0C21CF"/>
    <w:rsid w:val="2A156727"/>
    <w:rsid w:val="2A1E7E82"/>
    <w:rsid w:val="2A3C0CB0"/>
    <w:rsid w:val="2A64774B"/>
    <w:rsid w:val="2A684335"/>
    <w:rsid w:val="2A7D5C08"/>
    <w:rsid w:val="2A812EEF"/>
    <w:rsid w:val="2A8853FE"/>
    <w:rsid w:val="2AA47786"/>
    <w:rsid w:val="2AAA19F3"/>
    <w:rsid w:val="2AAD65EE"/>
    <w:rsid w:val="2AB37AED"/>
    <w:rsid w:val="2AC77380"/>
    <w:rsid w:val="2ADD6AFD"/>
    <w:rsid w:val="2ADE6550"/>
    <w:rsid w:val="2AFE0D9C"/>
    <w:rsid w:val="2B2E0309"/>
    <w:rsid w:val="2B422946"/>
    <w:rsid w:val="2B5B34DC"/>
    <w:rsid w:val="2B6979B0"/>
    <w:rsid w:val="2B76579E"/>
    <w:rsid w:val="2B831E93"/>
    <w:rsid w:val="2B915120"/>
    <w:rsid w:val="2B941580"/>
    <w:rsid w:val="2BA57D96"/>
    <w:rsid w:val="2BAE29A1"/>
    <w:rsid w:val="2BBE438D"/>
    <w:rsid w:val="2BDA1726"/>
    <w:rsid w:val="2BE373EE"/>
    <w:rsid w:val="2BEF0F16"/>
    <w:rsid w:val="2C0D7C62"/>
    <w:rsid w:val="2C295EB9"/>
    <w:rsid w:val="2C2B2276"/>
    <w:rsid w:val="2C331B40"/>
    <w:rsid w:val="2C35729B"/>
    <w:rsid w:val="2C3F779F"/>
    <w:rsid w:val="2C4628DA"/>
    <w:rsid w:val="2C622710"/>
    <w:rsid w:val="2C7A1A31"/>
    <w:rsid w:val="2C7C7D79"/>
    <w:rsid w:val="2C811C54"/>
    <w:rsid w:val="2C9466E2"/>
    <w:rsid w:val="2CA171B9"/>
    <w:rsid w:val="2CAF6B04"/>
    <w:rsid w:val="2CB0279E"/>
    <w:rsid w:val="2CB04E97"/>
    <w:rsid w:val="2CB21108"/>
    <w:rsid w:val="2CB550AE"/>
    <w:rsid w:val="2CCD7DEC"/>
    <w:rsid w:val="2CD12AE5"/>
    <w:rsid w:val="2CD33BF6"/>
    <w:rsid w:val="2CF41025"/>
    <w:rsid w:val="2D350AD1"/>
    <w:rsid w:val="2D3A323B"/>
    <w:rsid w:val="2D4B55E5"/>
    <w:rsid w:val="2D53589F"/>
    <w:rsid w:val="2D5C3A27"/>
    <w:rsid w:val="2D6B75F2"/>
    <w:rsid w:val="2D7646A7"/>
    <w:rsid w:val="2D7836B6"/>
    <w:rsid w:val="2D7B6139"/>
    <w:rsid w:val="2D7D016C"/>
    <w:rsid w:val="2D8E1F9C"/>
    <w:rsid w:val="2D9B3777"/>
    <w:rsid w:val="2DC65AFC"/>
    <w:rsid w:val="2DDA7850"/>
    <w:rsid w:val="2DDC0104"/>
    <w:rsid w:val="2DE379BB"/>
    <w:rsid w:val="2DE469E8"/>
    <w:rsid w:val="2E0177B9"/>
    <w:rsid w:val="2E034F95"/>
    <w:rsid w:val="2E1D2BF2"/>
    <w:rsid w:val="2E244D55"/>
    <w:rsid w:val="2E2B2AF5"/>
    <w:rsid w:val="2E3B2A47"/>
    <w:rsid w:val="2E6003A4"/>
    <w:rsid w:val="2E69729D"/>
    <w:rsid w:val="2E8315DD"/>
    <w:rsid w:val="2E8543E2"/>
    <w:rsid w:val="2E97598B"/>
    <w:rsid w:val="2E9B575E"/>
    <w:rsid w:val="2EAC0713"/>
    <w:rsid w:val="2EB809B1"/>
    <w:rsid w:val="2EB81831"/>
    <w:rsid w:val="2EBC610D"/>
    <w:rsid w:val="2ECD4221"/>
    <w:rsid w:val="2ECE29C3"/>
    <w:rsid w:val="2ECF7A85"/>
    <w:rsid w:val="2ED54D90"/>
    <w:rsid w:val="2EE054B3"/>
    <w:rsid w:val="2EEE6241"/>
    <w:rsid w:val="2F250C78"/>
    <w:rsid w:val="2F2B5ABF"/>
    <w:rsid w:val="2F2E604D"/>
    <w:rsid w:val="2F337441"/>
    <w:rsid w:val="2F417886"/>
    <w:rsid w:val="2F882E85"/>
    <w:rsid w:val="2F9A7F4A"/>
    <w:rsid w:val="2FB06A0B"/>
    <w:rsid w:val="2FC733B8"/>
    <w:rsid w:val="2FCA4F20"/>
    <w:rsid w:val="2FD23044"/>
    <w:rsid w:val="2FE918CA"/>
    <w:rsid w:val="2FEA6648"/>
    <w:rsid w:val="2FEB7B6C"/>
    <w:rsid w:val="300C4C70"/>
    <w:rsid w:val="30243B54"/>
    <w:rsid w:val="303371BB"/>
    <w:rsid w:val="3044399D"/>
    <w:rsid w:val="30477B1C"/>
    <w:rsid w:val="3049789B"/>
    <w:rsid w:val="305868C6"/>
    <w:rsid w:val="306445C1"/>
    <w:rsid w:val="306F3DBA"/>
    <w:rsid w:val="307F3E0B"/>
    <w:rsid w:val="308104F7"/>
    <w:rsid w:val="30896C6B"/>
    <w:rsid w:val="308B46DE"/>
    <w:rsid w:val="309907CB"/>
    <w:rsid w:val="30D0377D"/>
    <w:rsid w:val="30D2261F"/>
    <w:rsid w:val="30DE0226"/>
    <w:rsid w:val="31007D5E"/>
    <w:rsid w:val="31115223"/>
    <w:rsid w:val="31263645"/>
    <w:rsid w:val="3128586A"/>
    <w:rsid w:val="312D4BC9"/>
    <w:rsid w:val="31445B9B"/>
    <w:rsid w:val="316B13D5"/>
    <w:rsid w:val="31717A7F"/>
    <w:rsid w:val="31720F1D"/>
    <w:rsid w:val="31745B98"/>
    <w:rsid w:val="317E525C"/>
    <w:rsid w:val="318250B6"/>
    <w:rsid w:val="319951C3"/>
    <w:rsid w:val="31BF03E5"/>
    <w:rsid w:val="31E65427"/>
    <w:rsid w:val="31F43BF9"/>
    <w:rsid w:val="31F96A5C"/>
    <w:rsid w:val="31FA3784"/>
    <w:rsid w:val="31FD11B6"/>
    <w:rsid w:val="31FE3F69"/>
    <w:rsid w:val="31FF0281"/>
    <w:rsid w:val="320218B2"/>
    <w:rsid w:val="320733C3"/>
    <w:rsid w:val="32090830"/>
    <w:rsid w:val="320D2322"/>
    <w:rsid w:val="321C18F4"/>
    <w:rsid w:val="321C2B52"/>
    <w:rsid w:val="321F61EC"/>
    <w:rsid w:val="32342232"/>
    <w:rsid w:val="3235481D"/>
    <w:rsid w:val="32435238"/>
    <w:rsid w:val="324861A7"/>
    <w:rsid w:val="32490236"/>
    <w:rsid w:val="324F04DB"/>
    <w:rsid w:val="32702FC0"/>
    <w:rsid w:val="327144B7"/>
    <w:rsid w:val="329428E2"/>
    <w:rsid w:val="32A220FA"/>
    <w:rsid w:val="32CA65F9"/>
    <w:rsid w:val="33054854"/>
    <w:rsid w:val="33064DC6"/>
    <w:rsid w:val="330A16FB"/>
    <w:rsid w:val="330A4B27"/>
    <w:rsid w:val="33123E8F"/>
    <w:rsid w:val="33141FF7"/>
    <w:rsid w:val="33482976"/>
    <w:rsid w:val="33506C9F"/>
    <w:rsid w:val="335C3D6D"/>
    <w:rsid w:val="33775E05"/>
    <w:rsid w:val="3378517F"/>
    <w:rsid w:val="337B6A3F"/>
    <w:rsid w:val="338574F9"/>
    <w:rsid w:val="3389512D"/>
    <w:rsid w:val="33A078AB"/>
    <w:rsid w:val="33A222F8"/>
    <w:rsid w:val="33AA6CDD"/>
    <w:rsid w:val="33B11D10"/>
    <w:rsid w:val="33B85C62"/>
    <w:rsid w:val="33C3614F"/>
    <w:rsid w:val="33C4069B"/>
    <w:rsid w:val="33D62B96"/>
    <w:rsid w:val="33E32DB1"/>
    <w:rsid w:val="33EA04DA"/>
    <w:rsid w:val="33EB4015"/>
    <w:rsid w:val="34180EB9"/>
    <w:rsid w:val="341A72F5"/>
    <w:rsid w:val="342E2644"/>
    <w:rsid w:val="34376AB4"/>
    <w:rsid w:val="344127C5"/>
    <w:rsid w:val="344F6BB0"/>
    <w:rsid w:val="34526E6E"/>
    <w:rsid w:val="34531926"/>
    <w:rsid w:val="345957E6"/>
    <w:rsid w:val="345B1895"/>
    <w:rsid w:val="346057AE"/>
    <w:rsid w:val="3485590E"/>
    <w:rsid w:val="348A42E5"/>
    <w:rsid w:val="3492585B"/>
    <w:rsid w:val="34946C2E"/>
    <w:rsid w:val="349C0DD3"/>
    <w:rsid w:val="349C496B"/>
    <w:rsid w:val="34A24AD6"/>
    <w:rsid w:val="34B20C21"/>
    <w:rsid w:val="34BE3D1A"/>
    <w:rsid w:val="34C04708"/>
    <w:rsid w:val="34C33EF1"/>
    <w:rsid w:val="34D46D17"/>
    <w:rsid w:val="34EA38ED"/>
    <w:rsid w:val="34FD5844"/>
    <w:rsid w:val="35004979"/>
    <w:rsid w:val="3513492F"/>
    <w:rsid w:val="352328E6"/>
    <w:rsid w:val="352801A9"/>
    <w:rsid w:val="35280DED"/>
    <w:rsid w:val="353F3693"/>
    <w:rsid w:val="35463167"/>
    <w:rsid w:val="35496EF9"/>
    <w:rsid w:val="35665ADB"/>
    <w:rsid w:val="3572692E"/>
    <w:rsid w:val="35800C8C"/>
    <w:rsid w:val="35816EB9"/>
    <w:rsid w:val="35821E3D"/>
    <w:rsid w:val="359F5261"/>
    <w:rsid w:val="35B50881"/>
    <w:rsid w:val="35C2434B"/>
    <w:rsid w:val="35E269A0"/>
    <w:rsid w:val="35FE7215"/>
    <w:rsid w:val="35FF2DF2"/>
    <w:rsid w:val="36000F59"/>
    <w:rsid w:val="360A6FD4"/>
    <w:rsid w:val="360B232F"/>
    <w:rsid w:val="36245FB0"/>
    <w:rsid w:val="36247CCA"/>
    <w:rsid w:val="362552C6"/>
    <w:rsid w:val="36280FB0"/>
    <w:rsid w:val="36374919"/>
    <w:rsid w:val="36400759"/>
    <w:rsid w:val="364225B8"/>
    <w:rsid w:val="365851C2"/>
    <w:rsid w:val="365A6F0C"/>
    <w:rsid w:val="367018E9"/>
    <w:rsid w:val="36755043"/>
    <w:rsid w:val="367B06EC"/>
    <w:rsid w:val="36A949DA"/>
    <w:rsid w:val="36AF0D32"/>
    <w:rsid w:val="36ED465C"/>
    <w:rsid w:val="36F5591B"/>
    <w:rsid w:val="370058B6"/>
    <w:rsid w:val="37066B46"/>
    <w:rsid w:val="370961E4"/>
    <w:rsid w:val="371761F3"/>
    <w:rsid w:val="3731185E"/>
    <w:rsid w:val="373A7886"/>
    <w:rsid w:val="3743621C"/>
    <w:rsid w:val="3744589E"/>
    <w:rsid w:val="37556EFB"/>
    <w:rsid w:val="37634C0D"/>
    <w:rsid w:val="37635AA2"/>
    <w:rsid w:val="376B480E"/>
    <w:rsid w:val="376D038A"/>
    <w:rsid w:val="378D4EC4"/>
    <w:rsid w:val="37B01FC8"/>
    <w:rsid w:val="37E4385E"/>
    <w:rsid w:val="37F7211A"/>
    <w:rsid w:val="37FD2BB1"/>
    <w:rsid w:val="38006CCB"/>
    <w:rsid w:val="380C13EE"/>
    <w:rsid w:val="381D63E4"/>
    <w:rsid w:val="383B672F"/>
    <w:rsid w:val="38454C9B"/>
    <w:rsid w:val="387A40F3"/>
    <w:rsid w:val="38805EFA"/>
    <w:rsid w:val="388116C0"/>
    <w:rsid w:val="388C714F"/>
    <w:rsid w:val="38946C1E"/>
    <w:rsid w:val="38A75349"/>
    <w:rsid w:val="38E37461"/>
    <w:rsid w:val="38F1166E"/>
    <w:rsid w:val="38FA2459"/>
    <w:rsid w:val="39105A0A"/>
    <w:rsid w:val="3915776F"/>
    <w:rsid w:val="391B76F1"/>
    <w:rsid w:val="392245B5"/>
    <w:rsid w:val="392E1C4F"/>
    <w:rsid w:val="393D721A"/>
    <w:rsid w:val="393F0F59"/>
    <w:rsid w:val="394A6B61"/>
    <w:rsid w:val="394F360B"/>
    <w:rsid w:val="39521109"/>
    <w:rsid w:val="39552B94"/>
    <w:rsid w:val="39643EC0"/>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250E3E"/>
    <w:rsid w:val="3A27547C"/>
    <w:rsid w:val="3A3871E3"/>
    <w:rsid w:val="3A3C3C45"/>
    <w:rsid w:val="3A663EB0"/>
    <w:rsid w:val="3A7079F0"/>
    <w:rsid w:val="3A87071A"/>
    <w:rsid w:val="3A933750"/>
    <w:rsid w:val="3A9679E6"/>
    <w:rsid w:val="3A995D8D"/>
    <w:rsid w:val="3A9B7C92"/>
    <w:rsid w:val="3AA15200"/>
    <w:rsid w:val="3AA415B4"/>
    <w:rsid w:val="3AAC76F2"/>
    <w:rsid w:val="3AB10A7F"/>
    <w:rsid w:val="3ABB45B4"/>
    <w:rsid w:val="3AD8079E"/>
    <w:rsid w:val="3AE2732C"/>
    <w:rsid w:val="3AF05E33"/>
    <w:rsid w:val="3AF1344F"/>
    <w:rsid w:val="3AF45EEF"/>
    <w:rsid w:val="3B0C3FE9"/>
    <w:rsid w:val="3B1C5B19"/>
    <w:rsid w:val="3B362C4D"/>
    <w:rsid w:val="3B420C79"/>
    <w:rsid w:val="3B4E0D7D"/>
    <w:rsid w:val="3B942B73"/>
    <w:rsid w:val="3B9674D7"/>
    <w:rsid w:val="3BA20424"/>
    <w:rsid w:val="3BB335AC"/>
    <w:rsid w:val="3BB41887"/>
    <w:rsid w:val="3BB46056"/>
    <w:rsid w:val="3BD25A95"/>
    <w:rsid w:val="3BD3067E"/>
    <w:rsid w:val="3BD53AB5"/>
    <w:rsid w:val="3BEA51D5"/>
    <w:rsid w:val="3BEF40B2"/>
    <w:rsid w:val="3BF25345"/>
    <w:rsid w:val="3BFF61D4"/>
    <w:rsid w:val="3C0104C3"/>
    <w:rsid w:val="3C01739E"/>
    <w:rsid w:val="3C262C87"/>
    <w:rsid w:val="3C2B5178"/>
    <w:rsid w:val="3C2E6B82"/>
    <w:rsid w:val="3C302880"/>
    <w:rsid w:val="3C3C39A0"/>
    <w:rsid w:val="3C540766"/>
    <w:rsid w:val="3C56226A"/>
    <w:rsid w:val="3C5A7EF6"/>
    <w:rsid w:val="3C5E6BF7"/>
    <w:rsid w:val="3C7C388D"/>
    <w:rsid w:val="3C7D7FE8"/>
    <w:rsid w:val="3C804923"/>
    <w:rsid w:val="3C9A1BA0"/>
    <w:rsid w:val="3C9A5909"/>
    <w:rsid w:val="3C9D3765"/>
    <w:rsid w:val="3C9E0FAA"/>
    <w:rsid w:val="3CA30947"/>
    <w:rsid w:val="3CB0679A"/>
    <w:rsid w:val="3CB85542"/>
    <w:rsid w:val="3CC000F8"/>
    <w:rsid w:val="3CCD64DD"/>
    <w:rsid w:val="3D016685"/>
    <w:rsid w:val="3D277613"/>
    <w:rsid w:val="3D2F0540"/>
    <w:rsid w:val="3D372CA8"/>
    <w:rsid w:val="3D3734D1"/>
    <w:rsid w:val="3D3C5369"/>
    <w:rsid w:val="3D471B23"/>
    <w:rsid w:val="3D66205D"/>
    <w:rsid w:val="3D6D5EA9"/>
    <w:rsid w:val="3DA54021"/>
    <w:rsid w:val="3DB3168B"/>
    <w:rsid w:val="3DD171A7"/>
    <w:rsid w:val="3DDC1724"/>
    <w:rsid w:val="3DEC1B94"/>
    <w:rsid w:val="3DEF2C7A"/>
    <w:rsid w:val="3DFC55A8"/>
    <w:rsid w:val="3E0321CE"/>
    <w:rsid w:val="3E0C5BEA"/>
    <w:rsid w:val="3E1156B0"/>
    <w:rsid w:val="3E127B19"/>
    <w:rsid w:val="3E2653DC"/>
    <w:rsid w:val="3E2B50D7"/>
    <w:rsid w:val="3E327F30"/>
    <w:rsid w:val="3E4754A6"/>
    <w:rsid w:val="3E483E31"/>
    <w:rsid w:val="3E675E5F"/>
    <w:rsid w:val="3E786B14"/>
    <w:rsid w:val="3E816CD6"/>
    <w:rsid w:val="3E860F10"/>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425A9"/>
    <w:rsid w:val="3F0925C4"/>
    <w:rsid w:val="3F1F6992"/>
    <w:rsid w:val="3F2F6BD0"/>
    <w:rsid w:val="3F304A7A"/>
    <w:rsid w:val="3F3330FC"/>
    <w:rsid w:val="3F397D57"/>
    <w:rsid w:val="3F4E48BC"/>
    <w:rsid w:val="3F4F338A"/>
    <w:rsid w:val="3F4F56AB"/>
    <w:rsid w:val="3F5525AA"/>
    <w:rsid w:val="3F5C510C"/>
    <w:rsid w:val="3F652B34"/>
    <w:rsid w:val="3F9529AF"/>
    <w:rsid w:val="3FB1447F"/>
    <w:rsid w:val="3FC35AFC"/>
    <w:rsid w:val="3FD1414D"/>
    <w:rsid w:val="3FD73403"/>
    <w:rsid w:val="3FD81218"/>
    <w:rsid w:val="3FFF6F6C"/>
    <w:rsid w:val="400479C3"/>
    <w:rsid w:val="4017176D"/>
    <w:rsid w:val="40404B79"/>
    <w:rsid w:val="404708CF"/>
    <w:rsid w:val="404B00E0"/>
    <w:rsid w:val="40626078"/>
    <w:rsid w:val="40797278"/>
    <w:rsid w:val="408E3720"/>
    <w:rsid w:val="40912007"/>
    <w:rsid w:val="409B357D"/>
    <w:rsid w:val="40BC2DF7"/>
    <w:rsid w:val="40CE14CF"/>
    <w:rsid w:val="40CF6877"/>
    <w:rsid w:val="40D12969"/>
    <w:rsid w:val="40E86C9E"/>
    <w:rsid w:val="410848A4"/>
    <w:rsid w:val="41150CEC"/>
    <w:rsid w:val="411713CA"/>
    <w:rsid w:val="411A6663"/>
    <w:rsid w:val="412D5086"/>
    <w:rsid w:val="412E0B45"/>
    <w:rsid w:val="415C1B80"/>
    <w:rsid w:val="416E59E3"/>
    <w:rsid w:val="417C4EC1"/>
    <w:rsid w:val="417D1AAC"/>
    <w:rsid w:val="417D640A"/>
    <w:rsid w:val="418B17B5"/>
    <w:rsid w:val="41A664B7"/>
    <w:rsid w:val="41C77842"/>
    <w:rsid w:val="41DF5CBF"/>
    <w:rsid w:val="42226713"/>
    <w:rsid w:val="422B2BA1"/>
    <w:rsid w:val="422C345B"/>
    <w:rsid w:val="4231785A"/>
    <w:rsid w:val="42352DFB"/>
    <w:rsid w:val="423E2CE8"/>
    <w:rsid w:val="42510BC2"/>
    <w:rsid w:val="42537272"/>
    <w:rsid w:val="42584818"/>
    <w:rsid w:val="427E48C1"/>
    <w:rsid w:val="42926048"/>
    <w:rsid w:val="429B6E22"/>
    <w:rsid w:val="42B21349"/>
    <w:rsid w:val="42C845D8"/>
    <w:rsid w:val="42E3462D"/>
    <w:rsid w:val="42E4133A"/>
    <w:rsid w:val="43121104"/>
    <w:rsid w:val="43137CD6"/>
    <w:rsid w:val="43262E27"/>
    <w:rsid w:val="43311CC6"/>
    <w:rsid w:val="43334420"/>
    <w:rsid w:val="43385BC6"/>
    <w:rsid w:val="434841F7"/>
    <w:rsid w:val="434D6B99"/>
    <w:rsid w:val="436B64E7"/>
    <w:rsid w:val="437F792B"/>
    <w:rsid w:val="4393141E"/>
    <w:rsid w:val="43BE214E"/>
    <w:rsid w:val="43D409A3"/>
    <w:rsid w:val="43D96795"/>
    <w:rsid w:val="43ED298C"/>
    <w:rsid w:val="43EF2991"/>
    <w:rsid w:val="43F4696E"/>
    <w:rsid w:val="43FF1696"/>
    <w:rsid w:val="44312E2E"/>
    <w:rsid w:val="444D28AC"/>
    <w:rsid w:val="44597BEE"/>
    <w:rsid w:val="445F053C"/>
    <w:rsid w:val="447A4753"/>
    <w:rsid w:val="448914B8"/>
    <w:rsid w:val="448E6EFF"/>
    <w:rsid w:val="44B540B8"/>
    <w:rsid w:val="44DD300E"/>
    <w:rsid w:val="44E2656D"/>
    <w:rsid w:val="44E83AF8"/>
    <w:rsid w:val="44F11452"/>
    <w:rsid w:val="45177BA4"/>
    <w:rsid w:val="4519646E"/>
    <w:rsid w:val="451C551F"/>
    <w:rsid w:val="451F3CCA"/>
    <w:rsid w:val="45247468"/>
    <w:rsid w:val="45341196"/>
    <w:rsid w:val="45493A4F"/>
    <w:rsid w:val="454E4188"/>
    <w:rsid w:val="45521CB0"/>
    <w:rsid w:val="45653C2A"/>
    <w:rsid w:val="45727755"/>
    <w:rsid w:val="45772C1F"/>
    <w:rsid w:val="45A80C52"/>
    <w:rsid w:val="45B860CB"/>
    <w:rsid w:val="45BA5028"/>
    <w:rsid w:val="45C421A8"/>
    <w:rsid w:val="45CA6C10"/>
    <w:rsid w:val="45D01294"/>
    <w:rsid w:val="45E03532"/>
    <w:rsid w:val="45E20B53"/>
    <w:rsid w:val="462835F1"/>
    <w:rsid w:val="462D5957"/>
    <w:rsid w:val="46491C6D"/>
    <w:rsid w:val="465346A2"/>
    <w:rsid w:val="46586687"/>
    <w:rsid w:val="46616710"/>
    <w:rsid w:val="466309D9"/>
    <w:rsid w:val="466520C5"/>
    <w:rsid w:val="466A2150"/>
    <w:rsid w:val="466D3B0A"/>
    <w:rsid w:val="46724076"/>
    <w:rsid w:val="46844FFB"/>
    <w:rsid w:val="46864313"/>
    <w:rsid w:val="468C15DE"/>
    <w:rsid w:val="468F344C"/>
    <w:rsid w:val="468F5973"/>
    <w:rsid w:val="46BD4DF4"/>
    <w:rsid w:val="46C03844"/>
    <w:rsid w:val="46CA623A"/>
    <w:rsid w:val="46CE17A4"/>
    <w:rsid w:val="46D61B6B"/>
    <w:rsid w:val="46D81406"/>
    <w:rsid w:val="46FD3DD0"/>
    <w:rsid w:val="47006BB2"/>
    <w:rsid w:val="47111E3A"/>
    <w:rsid w:val="4712364C"/>
    <w:rsid w:val="472C59BD"/>
    <w:rsid w:val="472D3683"/>
    <w:rsid w:val="473B416A"/>
    <w:rsid w:val="473B7E9E"/>
    <w:rsid w:val="47453C8F"/>
    <w:rsid w:val="475B3378"/>
    <w:rsid w:val="4766347D"/>
    <w:rsid w:val="47810A72"/>
    <w:rsid w:val="478D4609"/>
    <w:rsid w:val="478D6A12"/>
    <w:rsid w:val="479F1D2B"/>
    <w:rsid w:val="479F5DF0"/>
    <w:rsid w:val="47A32AF0"/>
    <w:rsid w:val="47AA0F81"/>
    <w:rsid w:val="47AF032C"/>
    <w:rsid w:val="47BA0CEF"/>
    <w:rsid w:val="47EA4D37"/>
    <w:rsid w:val="47EC146A"/>
    <w:rsid w:val="482A2340"/>
    <w:rsid w:val="48334280"/>
    <w:rsid w:val="48386782"/>
    <w:rsid w:val="48403192"/>
    <w:rsid w:val="4842585E"/>
    <w:rsid w:val="48455013"/>
    <w:rsid w:val="484B7369"/>
    <w:rsid w:val="4860215B"/>
    <w:rsid w:val="486A4EB9"/>
    <w:rsid w:val="487F3DD6"/>
    <w:rsid w:val="48811612"/>
    <w:rsid w:val="488818E0"/>
    <w:rsid w:val="48AF41DC"/>
    <w:rsid w:val="48B40A80"/>
    <w:rsid w:val="48B464F4"/>
    <w:rsid w:val="48E06989"/>
    <w:rsid w:val="48E4345B"/>
    <w:rsid w:val="48E92C88"/>
    <w:rsid w:val="48EB1D85"/>
    <w:rsid w:val="490F46AA"/>
    <w:rsid w:val="492B3740"/>
    <w:rsid w:val="494C141C"/>
    <w:rsid w:val="495D5CF9"/>
    <w:rsid w:val="4987544D"/>
    <w:rsid w:val="49A90D09"/>
    <w:rsid w:val="49AE3D92"/>
    <w:rsid w:val="49AE51D7"/>
    <w:rsid w:val="49C426C8"/>
    <w:rsid w:val="49C55CAD"/>
    <w:rsid w:val="49CA225D"/>
    <w:rsid w:val="49D62732"/>
    <w:rsid w:val="49D96FD7"/>
    <w:rsid w:val="49F90F15"/>
    <w:rsid w:val="4A115E9D"/>
    <w:rsid w:val="4A1203E3"/>
    <w:rsid w:val="4A31708E"/>
    <w:rsid w:val="4A3C31F7"/>
    <w:rsid w:val="4A41265A"/>
    <w:rsid w:val="4A4308BD"/>
    <w:rsid w:val="4A5635AD"/>
    <w:rsid w:val="4A6B682E"/>
    <w:rsid w:val="4A863FBD"/>
    <w:rsid w:val="4A8D2B3B"/>
    <w:rsid w:val="4A9E5BA3"/>
    <w:rsid w:val="4AA2049C"/>
    <w:rsid w:val="4AA927DF"/>
    <w:rsid w:val="4ABD2CBE"/>
    <w:rsid w:val="4AC86408"/>
    <w:rsid w:val="4ACA49FA"/>
    <w:rsid w:val="4AD97487"/>
    <w:rsid w:val="4ADE3862"/>
    <w:rsid w:val="4ADE5D27"/>
    <w:rsid w:val="4AE8469B"/>
    <w:rsid w:val="4AE97D8E"/>
    <w:rsid w:val="4AED30D2"/>
    <w:rsid w:val="4AF05435"/>
    <w:rsid w:val="4AFE1C1B"/>
    <w:rsid w:val="4B15782A"/>
    <w:rsid w:val="4B1912C0"/>
    <w:rsid w:val="4B1B03A7"/>
    <w:rsid w:val="4B503DE9"/>
    <w:rsid w:val="4B524CF5"/>
    <w:rsid w:val="4B592E57"/>
    <w:rsid w:val="4B5F40D6"/>
    <w:rsid w:val="4B692AB0"/>
    <w:rsid w:val="4B731311"/>
    <w:rsid w:val="4B9A2375"/>
    <w:rsid w:val="4BAA6159"/>
    <w:rsid w:val="4C1F7A5B"/>
    <w:rsid w:val="4C581EF4"/>
    <w:rsid w:val="4C9A5F96"/>
    <w:rsid w:val="4C9B7DE3"/>
    <w:rsid w:val="4CA178A3"/>
    <w:rsid w:val="4CA37636"/>
    <w:rsid w:val="4CB3138C"/>
    <w:rsid w:val="4CBC47B7"/>
    <w:rsid w:val="4CBE1543"/>
    <w:rsid w:val="4CBE4760"/>
    <w:rsid w:val="4CC63570"/>
    <w:rsid w:val="4CCC2062"/>
    <w:rsid w:val="4CF02D19"/>
    <w:rsid w:val="4CF86DA4"/>
    <w:rsid w:val="4D0012C1"/>
    <w:rsid w:val="4D020DA5"/>
    <w:rsid w:val="4D0D52CB"/>
    <w:rsid w:val="4D362722"/>
    <w:rsid w:val="4D566C49"/>
    <w:rsid w:val="4D6037A5"/>
    <w:rsid w:val="4D743AA4"/>
    <w:rsid w:val="4D993267"/>
    <w:rsid w:val="4DA1355F"/>
    <w:rsid w:val="4DA537BB"/>
    <w:rsid w:val="4DF67531"/>
    <w:rsid w:val="4DF9062B"/>
    <w:rsid w:val="4E014EF8"/>
    <w:rsid w:val="4E066E93"/>
    <w:rsid w:val="4E1C3972"/>
    <w:rsid w:val="4E1D7E77"/>
    <w:rsid w:val="4E236A05"/>
    <w:rsid w:val="4E51451A"/>
    <w:rsid w:val="4E5311AE"/>
    <w:rsid w:val="4E6D1F2E"/>
    <w:rsid w:val="4E773DD7"/>
    <w:rsid w:val="4EC11B63"/>
    <w:rsid w:val="4EDC712B"/>
    <w:rsid w:val="4EE57B61"/>
    <w:rsid w:val="4EE8474B"/>
    <w:rsid w:val="4EF614BA"/>
    <w:rsid w:val="4EF62402"/>
    <w:rsid w:val="4F0D1A30"/>
    <w:rsid w:val="4F18399F"/>
    <w:rsid w:val="4F35630A"/>
    <w:rsid w:val="4F362E18"/>
    <w:rsid w:val="4F540B41"/>
    <w:rsid w:val="4F547EAA"/>
    <w:rsid w:val="4F662B69"/>
    <w:rsid w:val="4F67324E"/>
    <w:rsid w:val="4F832885"/>
    <w:rsid w:val="4F9039FE"/>
    <w:rsid w:val="4F95432C"/>
    <w:rsid w:val="4FB61776"/>
    <w:rsid w:val="4FCB41C4"/>
    <w:rsid w:val="4FCD3269"/>
    <w:rsid w:val="4FE4056A"/>
    <w:rsid w:val="500B3567"/>
    <w:rsid w:val="500E3702"/>
    <w:rsid w:val="502419F8"/>
    <w:rsid w:val="50344C9A"/>
    <w:rsid w:val="50437224"/>
    <w:rsid w:val="50490678"/>
    <w:rsid w:val="50515A87"/>
    <w:rsid w:val="505A512C"/>
    <w:rsid w:val="50606154"/>
    <w:rsid w:val="506E5ED7"/>
    <w:rsid w:val="5098572F"/>
    <w:rsid w:val="50C64353"/>
    <w:rsid w:val="50CA1DF4"/>
    <w:rsid w:val="50DA23BB"/>
    <w:rsid w:val="50F018D3"/>
    <w:rsid w:val="50F311E5"/>
    <w:rsid w:val="50F47A17"/>
    <w:rsid w:val="50FC11B3"/>
    <w:rsid w:val="5100663C"/>
    <w:rsid w:val="510967F6"/>
    <w:rsid w:val="5118449C"/>
    <w:rsid w:val="511F0E78"/>
    <w:rsid w:val="513D38A6"/>
    <w:rsid w:val="51456AF4"/>
    <w:rsid w:val="51470560"/>
    <w:rsid w:val="51471C5E"/>
    <w:rsid w:val="515049E8"/>
    <w:rsid w:val="515C1DCC"/>
    <w:rsid w:val="51790E28"/>
    <w:rsid w:val="517A1635"/>
    <w:rsid w:val="519B6609"/>
    <w:rsid w:val="51B858B2"/>
    <w:rsid w:val="51BE6CEC"/>
    <w:rsid w:val="51C26588"/>
    <w:rsid w:val="51C61413"/>
    <w:rsid w:val="51C97767"/>
    <w:rsid w:val="51D40E25"/>
    <w:rsid w:val="51DE4114"/>
    <w:rsid w:val="51E565A9"/>
    <w:rsid w:val="51E77A6F"/>
    <w:rsid w:val="51F45C0D"/>
    <w:rsid w:val="51F45EC8"/>
    <w:rsid w:val="51F93B02"/>
    <w:rsid w:val="51FE2E2D"/>
    <w:rsid w:val="52056A08"/>
    <w:rsid w:val="520F2ED4"/>
    <w:rsid w:val="521402BD"/>
    <w:rsid w:val="52143945"/>
    <w:rsid w:val="521A74EC"/>
    <w:rsid w:val="522B39FB"/>
    <w:rsid w:val="52414E5C"/>
    <w:rsid w:val="52416B27"/>
    <w:rsid w:val="52463FBA"/>
    <w:rsid w:val="52494C56"/>
    <w:rsid w:val="524A5D65"/>
    <w:rsid w:val="524B79B8"/>
    <w:rsid w:val="524C1BBF"/>
    <w:rsid w:val="52547DCF"/>
    <w:rsid w:val="52756500"/>
    <w:rsid w:val="529526FC"/>
    <w:rsid w:val="52A17AC6"/>
    <w:rsid w:val="52A71DED"/>
    <w:rsid w:val="52C04D72"/>
    <w:rsid w:val="52CA35B0"/>
    <w:rsid w:val="52DD15C5"/>
    <w:rsid w:val="52F63B4F"/>
    <w:rsid w:val="53053736"/>
    <w:rsid w:val="53082F2C"/>
    <w:rsid w:val="53131C59"/>
    <w:rsid w:val="532C6492"/>
    <w:rsid w:val="53311293"/>
    <w:rsid w:val="53345BA9"/>
    <w:rsid w:val="53396085"/>
    <w:rsid w:val="53670639"/>
    <w:rsid w:val="537B56BB"/>
    <w:rsid w:val="53A3208D"/>
    <w:rsid w:val="53B84C8E"/>
    <w:rsid w:val="53BC23E8"/>
    <w:rsid w:val="53C83E93"/>
    <w:rsid w:val="53DC10D6"/>
    <w:rsid w:val="53F52A77"/>
    <w:rsid w:val="53FD5774"/>
    <w:rsid w:val="5414272D"/>
    <w:rsid w:val="541545B9"/>
    <w:rsid w:val="5440257B"/>
    <w:rsid w:val="544F3292"/>
    <w:rsid w:val="54571FF6"/>
    <w:rsid w:val="546C6CDD"/>
    <w:rsid w:val="547D471A"/>
    <w:rsid w:val="54841FC1"/>
    <w:rsid w:val="54871B54"/>
    <w:rsid w:val="548E6C4D"/>
    <w:rsid w:val="549F3EDE"/>
    <w:rsid w:val="54AA3CD9"/>
    <w:rsid w:val="54B76615"/>
    <w:rsid w:val="54C6195C"/>
    <w:rsid w:val="54C87263"/>
    <w:rsid w:val="54CB5C2D"/>
    <w:rsid w:val="54D3720E"/>
    <w:rsid w:val="54EA3219"/>
    <w:rsid w:val="550118A5"/>
    <w:rsid w:val="55326A0C"/>
    <w:rsid w:val="55460CEB"/>
    <w:rsid w:val="55522F9E"/>
    <w:rsid w:val="55676225"/>
    <w:rsid w:val="556868D0"/>
    <w:rsid w:val="557A16A0"/>
    <w:rsid w:val="559665D7"/>
    <w:rsid w:val="559A22C4"/>
    <w:rsid w:val="559F228F"/>
    <w:rsid w:val="55B30AC0"/>
    <w:rsid w:val="55B54251"/>
    <w:rsid w:val="55E8090D"/>
    <w:rsid w:val="55F32385"/>
    <w:rsid w:val="562A1609"/>
    <w:rsid w:val="563837DA"/>
    <w:rsid w:val="563F74A4"/>
    <w:rsid w:val="56531ADC"/>
    <w:rsid w:val="566B53D2"/>
    <w:rsid w:val="566E0237"/>
    <w:rsid w:val="567B1141"/>
    <w:rsid w:val="569A3398"/>
    <w:rsid w:val="56A655BD"/>
    <w:rsid w:val="56AD7471"/>
    <w:rsid w:val="56D7078F"/>
    <w:rsid w:val="56EB3361"/>
    <w:rsid w:val="56F40954"/>
    <w:rsid w:val="56F72F30"/>
    <w:rsid w:val="570D256E"/>
    <w:rsid w:val="570F6B39"/>
    <w:rsid w:val="572926B1"/>
    <w:rsid w:val="57301450"/>
    <w:rsid w:val="5753468B"/>
    <w:rsid w:val="575B3101"/>
    <w:rsid w:val="5760479D"/>
    <w:rsid w:val="576D43D6"/>
    <w:rsid w:val="577058D7"/>
    <w:rsid w:val="577949A8"/>
    <w:rsid w:val="5779650A"/>
    <w:rsid w:val="57BA33E6"/>
    <w:rsid w:val="57CB6745"/>
    <w:rsid w:val="57F25C54"/>
    <w:rsid w:val="58037259"/>
    <w:rsid w:val="58070CFB"/>
    <w:rsid w:val="580B1E0B"/>
    <w:rsid w:val="58164A86"/>
    <w:rsid w:val="582E42C9"/>
    <w:rsid w:val="58603614"/>
    <w:rsid w:val="58615E6E"/>
    <w:rsid w:val="58635793"/>
    <w:rsid w:val="586513D9"/>
    <w:rsid w:val="58784075"/>
    <w:rsid w:val="588C11D6"/>
    <w:rsid w:val="589148A0"/>
    <w:rsid w:val="58EF47AD"/>
    <w:rsid w:val="58F6339F"/>
    <w:rsid w:val="58FB1645"/>
    <w:rsid w:val="59033141"/>
    <w:rsid w:val="59055DC8"/>
    <w:rsid w:val="592D1E59"/>
    <w:rsid w:val="59477195"/>
    <w:rsid w:val="59491402"/>
    <w:rsid w:val="594F459C"/>
    <w:rsid w:val="595C25C6"/>
    <w:rsid w:val="595F13E9"/>
    <w:rsid w:val="59785D4E"/>
    <w:rsid w:val="597E2527"/>
    <w:rsid w:val="59814FAB"/>
    <w:rsid w:val="599D32C2"/>
    <w:rsid w:val="59A84CD5"/>
    <w:rsid w:val="59AF5271"/>
    <w:rsid w:val="59B957FB"/>
    <w:rsid w:val="59C35D87"/>
    <w:rsid w:val="59CA0DF6"/>
    <w:rsid w:val="59D05539"/>
    <w:rsid w:val="59E12D2E"/>
    <w:rsid w:val="59E23321"/>
    <w:rsid w:val="59E56E97"/>
    <w:rsid w:val="59EE0B0E"/>
    <w:rsid w:val="5A1B27B8"/>
    <w:rsid w:val="5A2052D4"/>
    <w:rsid w:val="5A206EAC"/>
    <w:rsid w:val="5A41505E"/>
    <w:rsid w:val="5A501714"/>
    <w:rsid w:val="5A60385B"/>
    <w:rsid w:val="5A620926"/>
    <w:rsid w:val="5A684BC1"/>
    <w:rsid w:val="5A9658D6"/>
    <w:rsid w:val="5AAA1D47"/>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E3090"/>
    <w:rsid w:val="5B563203"/>
    <w:rsid w:val="5B736DFC"/>
    <w:rsid w:val="5B74248A"/>
    <w:rsid w:val="5B743134"/>
    <w:rsid w:val="5B7C3A7D"/>
    <w:rsid w:val="5B833551"/>
    <w:rsid w:val="5B8675CA"/>
    <w:rsid w:val="5BA652CD"/>
    <w:rsid w:val="5BAB7A8E"/>
    <w:rsid w:val="5BAC14FC"/>
    <w:rsid w:val="5BD859BE"/>
    <w:rsid w:val="5BDA1A02"/>
    <w:rsid w:val="5BDA3815"/>
    <w:rsid w:val="5BED0E14"/>
    <w:rsid w:val="5C037471"/>
    <w:rsid w:val="5C100E26"/>
    <w:rsid w:val="5C2811B8"/>
    <w:rsid w:val="5C283752"/>
    <w:rsid w:val="5C4C3CC9"/>
    <w:rsid w:val="5C5C59BB"/>
    <w:rsid w:val="5C603461"/>
    <w:rsid w:val="5C656538"/>
    <w:rsid w:val="5C686404"/>
    <w:rsid w:val="5C6A1E8C"/>
    <w:rsid w:val="5C6F3AA2"/>
    <w:rsid w:val="5C85298F"/>
    <w:rsid w:val="5CCD7C02"/>
    <w:rsid w:val="5CDC5778"/>
    <w:rsid w:val="5CE70DB3"/>
    <w:rsid w:val="5CF20C05"/>
    <w:rsid w:val="5CF617C9"/>
    <w:rsid w:val="5CFA5FCC"/>
    <w:rsid w:val="5D047764"/>
    <w:rsid w:val="5D047EE8"/>
    <w:rsid w:val="5D0732F0"/>
    <w:rsid w:val="5D126228"/>
    <w:rsid w:val="5D1949C1"/>
    <w:rsid w:val="5D1F3C0E"/>
    <w:rsid w:val="5D265AC7"/>
    <w:rsid w:val="5D2A1890"/>
    <w:rsid w:val="5D2B3523"/>
    <w:rsid w:val="5D3A42DC"/>
    <w:rsid w:val="5D4962D8"/>
    <w:rsid w:val="5D522DCA"/>
    <w:rsid w:val="5D59774A"/>
    <w:rsid w:val="5D7A7533"/>
    <w:rsid w:val="5D98434B"/>
    <w:rsid w:val="5DA41CA9"/>
    <w:rsid w:val="5DB601C6"/>
    <w:rsid w:val="5DCE771F"/>
    <w:rsid w:val="5DD01F66"/>
    <w:rsid w:val="5DD3556C"/>
    <w:rsid w:val="5DDC34B6"/>
    <w:rsid w:val="5DE6704B"/>
    <w:rsid w:val="5DEC3B70"/>
    <w:rsid w:val="5DF84369"/>
    <w:rsid w:val="5DF92DCB"/>
    <w:rsid w:val="5E091FB5"/>
    <w:rsid w:val="5E0C7A7F"/>
    <w:rsid w:val="5E184D9B"/>
    <w:rsid w:val="5E280CB5"/>
    <w:rsid w:val="5E3A56AF"/>
    <w:rsid w:val="5E447267"/>
    <w:rsid w:val="5E4A572D"/>
    <w:rsid w:val="5E5667A6"/>
    <w:rsid w:val="5E676802"/>
    <w:rsid w:val="5E6C7C78"/>
    <w:rsid w:val="5E72699B"/>
    <w:rsid w:val="5E815CED"/>
    <w:rsid w:val="5E887A26"/>
    <w:rsid w:val="5EC51A75"/>
    <w:rsid w:val="5EC56393"/>
    <w:rsid w:val="5EF005C2"/>
    <w:rsid w:val="5EF078DD"/>
    <w:rsid w:val="5EFC3B4B"/>
    <w:rsid w:val="5EFE34A1"/>
    <w:rsid w:val="5F060F32"/>
    <w:rsid w:val="5F173FD8"/>
    <w:rsid w:val="5F2D5831"/>
    <w:rsid w:val="5F3813FB"/>
    <w:rsid w:val="5F6A15CC"/>
    <w:rsid w:val="5F6E2815"/>
    <w:rsid w:val="5F7C06D8"/>
    <w:rsid w:val="5F9A6E65"/>
    <w:rsid w:val="5FB11334"/>
    <w:rsid w:val="5FC12529"/>
    <w:rsid w:val="5FCC0E64"/>
    <w:rsid w:val="5FD9462B"/>
    <w:rsid w:val="5FDD41A5"/>
    <w:rsid w:val="5FE138F7"/>
    <w:rsid w:val="5FEF2F82"/>
    <w:rsid w:val="5FFB6305"/>
    <w:rsid w:val="60011320"/>
    <w:rsid w:val="600A0FBC"/>
    <w:rsid w:val="6057025C"/>
    <w:rsid w:val="606F133D"/>
    <w:rsid w:val="607F2EC7"/>
    <w:rsid w:val="60916901"/>
    <w:rsid w:val="60981D0D"/>
    <w:rsid w:val="60993336"/>
    <w:rsid w:val="60A27DAC"/>
    <w:rsid w:val="60B91733"/>
    <w:rsid w:val="60E4794E"/>
    <w:rsid w:val="60EC1304"/>
    <w:rsid w:val="61057C99"/>
    <w:rsid w:val="610B115D"/>
    <w:rsid w:val="612650A2"/>
    <w:rsid w:val="61275225"/>
    <w:rsid w:val="612C0D97"/>
    <w:rsid w:val="614041D7"/>
    <w:rsid w:val="6158340A"/>
    <w:rsid w:val="615D2B61"/>
    <w:rsid w:val="61680BD5"/>
    <w:rsid w:val="616C655B"/>
    <w:rsid w:val="616E381D"/>
    <w:rsid w:val="61A21ED5"/>
    <w:rsid w:val="61BA5EFD"/>
    <w:rsid w:val="61C7660C"/>
    <w:rsid w:val="61D81BE2"/>
    <w:rsid w:val="61E563B5"/>
    <w:rsid w:val="61E93AD6"/>
    <w:rsid w:val="620100B1"/>
    <w:rsid w:val="62190F45"/>
    <w:rsid w:val="62193B80"/>
    <w:rsid w:val="621B4181"/>
    <w:rsid w:val="62353B47"/>
    <w:rsid w:val="624076D6"/>
    <w:rsid w:val="62625E3B"/>
    <w:rsid w:val="626B4F1C"/>
    <w:rsid w:val="62760400"/>
    <w:rsid w:val="62836620"/>
    <w:rsid w:val="628B1EAF"/>
    <w:rsid w:val="628C53F9"/>
    <w:rsid w:val="62A20B07"/>
    <w:rsid w:val="62A414E0"/>
    <w:rsid w:val="62CC77CB"/>
    <w:rsid w:val="62F31DC3"/>
    <w:rsid w:val="62F3784F"/>
    <w:rsid w:val="62FF3FB5"/>
    <w:rsid w:val="63021DE2"/>
    <w:rsid w:val="63112339"/>
    <w:rsid w:val="632C2662"/>
    <w:rsid w:val="633F4CD1"/>
    <w:rsid w:val="63507A3A"/>
    <w:rsid w:val="639024F9"/>
    <w:rsid w:val="63AA5332"/>
    <w:rsid w:val="63C37AE1"/>
    <w:rsid w:val="63C61233"/>
    <w:rsid w:val="63C65975"/>
    <w:rsid w:val="63FF6AFB"/>
    <w:rsid w:val="641C1517"/>
    <w:rsid w:val="6422154F"/>
    <w:rsid w:val="642A2A58"/>
    <w:rsid w:val="642F18AF"/>
    <w:rsid w:val="64370026"/>
    <w:rsid w:val="64391A57"/>
    <w:rsid w:val="64585109"/>
    <w:rsid w:val="645F7031"/>
    <w:rsid w:val="647A0B0C"/>
    <w:rsid w:val="647C31C7"/>
    <w:rsid w:val="64802831"/>
    <w:rsid w:val="64881679"/>
    <w:rsid w:val="649F7EFD"/>
    <w:rsid w:val="64B05450"/>
    <w:rsid w:val="64B55A95"/>
    <w:rsid w:val="64B64B66"/>
    <w:rsid w:val="64B86E2A"/>
    <w:rsid w:val="64C12A40"/>
    <w:rsid w:val="64C15487"/>
    <w:rsid w:val="64C51685"/>
    <w:rsid w:val="64CE3488"/>
    <w:rsid w:val="64E07F0A"/>
    <w:rsid w:val="64EB4E6B"/>
    <w:rsid w:val="64EF7BC2"/>
    <w:rsid w:val="65137300"/>
    <w:rsid w:val="651B12CD"/>
    <w:rsid w:val="65217998"/>
    <w:rsid w:val="6526740F"/>
    <w:rsid w:val="65531FFE"/>
    <w:rsid w:val="6556674F"/>
    <w:rsid w:val="655F2B6C"/>
    <w:rsid w:val="657A3052"/>
    <w:rsid w:val="65862CD9"/>
    <w:rsid w:val="6588686F"/>
    <w:rsid w:val="65960579"/>
    <w:rsid w:val="659E46D8"/>
    <w:rsid w:val="65A57048"/>
    <w:rsid w:val="65A80873"/>
    <w:rsid w:val="65B50E5A"/>
    <w:rsid w:val="65D54781"/>
    <w:rsid w:val="65D6228D"/>
    <w:rsid w:val="65E06427"/>
    <w:rsid w:val="65F24A77"/>
    <w:rsid w:val="660148D8"/>
    <w:rsid w:val="660867AF"/>
    <w:rsid w:val="661A7503"/>
    <w:rsid w:val="662D27C6"/>
    <w:rsid w:val="66343E7B"/>
    <w:rsid w:val="66392EF8"/>
    <w:rsid w:val="66452FE9"/>
    <w:rsid w:val="665F7291"/>
    <w:rsid w:val="66746584"/>
    <w:rsid w:val="667509D4"/>
    <w:rsid w:val="66757906"/>
    <w:rsid w:val="66766886"/>
    <w:rsid w:val="6676744B"/>
    <w:rsid w:val="66797881"/>
    <w:rsid w:val="66797F31"/>
    <w:rsid w:val="66840CB6"/>
    <w:rsid w:val="668D7DF1"/>
    <w:rsid w:val="668E4FAC"/>
    <w:rsid w:val="669B3106"/>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8091997"/>
    <w:rsid w:val="68130960"/>
    <w:rsid w:val="6815717B"/>
    <w:rsid w:val="681B7F08"/>
    <w:rsid w:val="68222A13"/>
    <w:rsid w:val="68347A35"/>
    <w:rsid w:val="6848340A"/>
    <w:rsid w:val="684D6D87"/>
    <w:rsid w:val="68525B9B"/>
    <w:rsid w:val="686935D4"/>
    <w:rsid w:val="687D0874"/>
    <w:rsid w:val="687F7E0A"/>
    <w:rsid w:val="688432AD"/>
    <w:rsid w:val="6886482A"/>
    <w:rsid w:val="688E57BC"/>
    <w:rsid w:val="68904BFB"/>
    <w:rsid w:val="68A0499E"/>
    <w:rsid w:val="68A66D7D"/>
    <w:rsid w:val="68AE3670"/>
    <w:rsid w:val="68C332BA"/>
    <w:rsid w:val="68C708F2"/>
    <w:rsid w:val="68CE60F2"/>
    <w:rsid w:val="68D56251"/>
    <w:rsid w:val="68DC7A0E"/>
    <w:rsid w:val="68E8204E"/>
    <w:rsid w:val="68EF5946"/>
    <w:rsid w:val="68FF6567"/>
    <w:rsid w:val="693118AD"/>
    <w:rsid w:val="69322907"/>
    <w:rsid w:val="69603C4B"/>
    <w:rsid w:val="69614422"/>
    <w:rsid w:val="69683F1C"/>
    <w:rsid w:val="696D6F6C"/>
    <w:rsid w:val="69930E11"/>
    <w:rsid w:val="699A5F99"/>
    <w:rsid w:val="699C0EF8"/>
    <w:rsid w:val="69AB5DBB"/>
    <w:rsid w:val="69B7386F"/>
    <w:rsid w:val="69B7395C"/>
    <w:rsid w:val="69B840F1"/>
    <w:rsid w:val="69C47EA2"/>
    <w:rsid w:val="69C91948"/>
    <w:rsid w:val="6A01134C"/>
    <w:rsid w:val="6A2826A1"/>
    <w:rsid w:val="6A2A7760"/>
    <w:rsid w:val="6A3863E4"/>
    <w:rsid w:val="6A4E56A1"/>
    <w:rsid w:val="6A551347"/>
    <w:rsid w:val="6A5660EE"/>
    <w:rsid w:val="6A5D1911"/>
    <w:rsid w:val="6A9F3407"/>
    <w:rsid w:val="6AA351FA"/>
    <w:rsid w:val="6AA45AEE"/>
    <w:rsid w:val="6AAA05A9"/>
    <w:rsid w:val="6AC418AD"/>
    <w:rsid w:val="6ACA46EF"/>
    <w:rsid w:val="6AD729B6"/>
    <w:rsid w:val="6ADE0798"/>
    <w:rsid w:val="6ADE6678"/>
    <w:rsid w:val="6AE60B4C"/>
    <w:rsid w:val="6B096A1E"/>
    <w:rsid w:val="6B1F6776"/>
    <w:rsid w:val="6B3529D0"/>
    <w:rsid w:val="6B3C6A10"/>
    <w:rsid w:val="6B451CF7"/>
    <w:rsid w:val="6B5B3158"/>
    <w:rsid w:val="6B726A7C"/>
    <w:rsid w:val="6B8902B7"/>
    <w:rsid w:val="6B945B80"/>
    <w:rsid w:val="6B9D4DE1"/>
    <w:rsid w:val="6BA5152F"/>
    <w:rsid w:val="6BBA5C26"/>
    <w:rsid w:val="6BC644EC"/>
    <w:rsid w:val="6BE60592"/>
    <w:rsid w:val="6BE963BE"/>
    <w:rsid w:val="6BF54FD0"/>
    <w:rsid w:val="6C022AB0"/>
    <w:rsid w:val="6C0F365E"/>
    <w:rsid w:val="6C2B73E4"/>
    <w:rsid w:val="6C2E2CA9"/>
    <w:rsid w:val="6C3E3641"/>
    <w:rsid w:val="6C5D2BAE"/>
    <w:rsid w:val="6C740601"/>
    <w:rsid w:val="6CAF5A8D"/>
    <w:rsid w:val="6CC47301"/>
    <w:rsid w:val="6CD85C69"/>
    <w:rsid w:val="6D130465"/>
    <w:rsid w:val="6D344A05"/>
    <w:rsid w:val="6D464DCC"/>
    <w:rsid w:val="6D4B053C"/>
    <w:rsid w:val="6D616216"/>
    <w:rsid w:val="6D6263F4"/>
    <w:rsid w:val="6D6A77F1"/>
    <w:rsid w:val="6D705FDB"/>
    <w:rsid w:val="6D7A5417"/>
    <w:rsid w:val="6D82717B"/>
    <w:rsid w:val="6D864BA0"/>
    <w:rsid w:val="6D932C97"/>
    <w:rsid w:val="6DA225C5"/>
    <w:rsid w:val="6DA25119"/>
    <w:rsid w:val="6DB17B56"/>
    <w:rsid w:val="6DB630F7"/>
    <w:rsid w:val="6DDA2AD0"/>
    <w:rsid w:val="6DF3029B"/>
    <w:rsid w:val="6DF83116"/>
    <w:rsid w:val="6E04099A"/>
    <w:rsid w:val="6E077E75"/>
    <w:rsid w:val="6E0E61FC"/>
    <w:rsid w:val="6E3101C1"/>
    <w:rsid w:val="6E451A64"/>
    <w:rsid w:val="6E67698D"/>
    <w:rsid w:val="6E6839F7"/>
    <w:rsid w:val="6E6F6D4B"/>
    <w:rsid w:val="6E733F82"/>
    <w:rsid w:val="6E874489"/>
    <w:rsid w:val="6EA0744D"/>
    <w:rsid w:val="6EA3291D"/>
    <w:rsid w:val="6EA67504"/>
    <w:rsid w:val="6EB40CBD"/>
    <w:rsid w:val="6EDD75A0"/>
    <w:rsid w:val="6EE05A61"/>
    <w:rsid w:val="6EEF64D8"/>
    <w:rsid w:val="6F0D2298"/>
    <w:rsid w:val="6F1F678A"/>
    <w:rsid w:val="6F2F21E0"/>
    <w:rsid w:val="6F371459"/>
    <w:rsid w:val="6F37324B"/>
    <w:rsid w:val="6F4501D2"/>
    <w:rsid w:val="6F4B77AB"/>
    <w:rsid w:val="6F5A407F"/>
    <w:rsid w:val="6F6B3135"/>
    <w:rsid w:val="6F9045BD"/>
    <w:rsid w:val="6F92083A"/>
    <w:rsid w:val="6F981DA4"/>
    <w:rsid w:val="6F991282"/>
    <w:rsid w:val="6FAD4095"/>
    <w:rsid w:val="6FAF5BF4"/>
    <w:rsid w:val="6FB0436A"/>
    <w:rsid w:val="6FD071A2"/>
    <w:rsid w:val="6FD57D31"/>
    <w:rsid w:val="6FD624BE"/>
    <w:rsid w:val="6FD969D9"/>
    <w:rsid w:val="6FDF42CC"/>
    <w:rsid w:val="700A32D4"/>
    <w:rsid w:val="70193B78"/>
    <w:rsid w:val="702F429A"/>
    <w:rsid w:val="70512274"/>
    <w:rsid w:val="705C4C37"/>
    <w:rsid w:val="7071512F"/>
    <w:rsid w:val="708006AE"/>
    <w:rsid w:val="70836044"/>
    <w:rsid w:val="70892925"/>
    <w:rsid w:val="70963635"/>
    <w:rsid w:val="709E757C"/>
    <w:rsid w:val="70AB6982"/>
    <w:rsid w:val="70B960E4"/>
    <w:rsid w:val="70BE7E99"/>
    <w:rsid w:val="70CE2945"/>
    <w:rsid w:val="710003A8"/>
    <w:rsid w:val="710F0BB8"/>
    <w:rsid w:val="71190285"/>
    <w:rsid w:val="71194261"/>
    <w:rsid w:val="711C5BB5"/>
    <w:rsid w:val="71412131"/>
    <w:rsid w:val="7144689C"/>
    <w:rsid w:val="715428C6"/>
    <w:rsid w:val="717E5F2F"/>
    <w:rsid w:val="71885178"/>
    <w:rsid w:val="718A0D80"/>
    <w:rsid w:val="718B15C7"/>
    <w:rsid w:val="71915963"/>
    <w:rsid w:val="7196561A"/>
    <w:rsid w:val="71B2274D"/>
    <w:rsid w:val="71BF4E45"/>
    <w:rsid w:val="71C20258"/>
    <w:rsid w:val="71CC7EBE"/>
    <w:rsid w:val="71D20555"/>
    <w:rsid w:val="71D51D15"/>
    <w:rsid w:val="71DA77B8"/>
    <w:rsid w:val="71E51949"/>
    <w:rsid w:val="71FA4804"/>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DD5B87"/>
    <w:rsid w:val="72FD0906"/>
    <w:rsid w:val="730333E9"/>
    <w:rsid w:val="73405A89"/>
    <w:rsid w:val="73795D74"/>
    <w:rsid w:val="739509FA"/>
    <w:rsid w:val="73A80755"/>
    <w:rsid w:val="73C4164C"/>
    <w:rsid w:val="73CC653A"/>
    <w:rsid w:val="73CC7B9B"/>
    <w:rsid w:val="73D159A1"/>
    <w:rsid w:val="73F35C20"/>
    <w:rsid w:val="73F62412"/>
    <w:rsid w:val="73F8462A"/>
    <w:rsid w:val="741640DF"/>
    <w:rsid w:val="741D2D43"/>
    <w:rsid w:val="74306B8E"/>
    <w:rsid w:val="74351797"/>
    <w:rsid w:val="74366914"/>
    <w:rsid w:val="744271F3"/>
    <w:rsid w:val="745F4062"/>
    <w:rsid w:val="74764B0B"/>
    <w:rsid w:val="7486761F"/>
    <w:rsid w:val="7487699B"/>
    <w:rsid w:val="748E4BFA"/>
    <w:rsid w:val="74D65D6C"/>
    <w:rsid w:val="74DF558B"/>
    <w:rsid w:val="74E754D3"/>
    <w:rsid w:val="74EE1D1B"/>
    <w:rsid w:val="74F826B3"/>
    <w:rsid w:val="75033632"/>
    <w:rsid w:val="75067D82"/>
    <w:rsid w:val="75152359"/>
    <w:rsid w:val="7517680B"/>
    <w:rsid w:val="751E0DB8"/>
    <w:rsid w:val="752955C7"/>
    <w:rsid w:val="752A1251"/>
    <w:rsid w:val="75473AB6"/>
    <w:rsid w:val="755A639D"/>
    <w:rsid w:val="75612341"/>
    <w:rsid w:val="75882465"/>
    <w:rsid w:val="758B79F5"/>
    <w:rsid w:val="758E45E2"/>
    <w:rsid w:val="75903238"/>
    <w:rsid w:val="7590399D"/>
    <w:rsid w:val="7599633A"/>
    <w:rsid w:val="75A143DD"/>
    <w:rsid w:val="75A437AC"/>
    <w:rsid w:val="75CA48E7"/>
    <w:rsid w:val="75D76645"/>
    <w:rsid w:val="75E027FD"/>
    <w:rsid w:val="75EF4AB0"/>
    <w:rsid w:val="75F77021"/>
    <w:rsid w:val="76382936"/>
    <w:rsid w:val="765629A7"/>
    <w:rsid w:val="766D4519"/>
    <w:rsid w:val="76752691"/>
    <w:rsid w:val="767742EB"/>
    <w:rsid w:val="76924971"/>
    <w:rsid w:val="76933E2E"/>
    <w:rsid w:val="76A27B4C"/>
    <w:rsid w:val="76A64C6F"/>
    <w:rsid w:val="76B918A6"/>
    <w:rsid w:val="76BC587C"/>
    <w:rsid w:val="76BF7808"/>
    <w:rsid w:val="76C00AFC"/>
    <w:rsid w:val="76C65CE9"/>
    <w:rsid w:val="76DF5BF8"/>
    <w:rsid w:val="76ED1347"/>
    <w:rsid w:val="76F433E8"/>
    <w:rsid w:val="77183E7D"/>
    <w:rsid w:val="771946D8"/>
    <w:rsid w:val="772268FD"/>
    <w:rsid w:val="77355D35"/>
    <w:rsid w:val="77474684"/>
    <w:rsid w:val="775666E2"/>
    <w:rsid w:val="7792660F"/>
    <w:rsid w:val="77A82770"/>
    <w:rsid w:val="77BD7E72"/>
    <w:rsid w:val="77C87E3E"/>
    <w:rsid w:val="77ED0386"/>
    <w:rsid w:val="77F72469"/>
    <w:rsid w:val="77F7547B"/>
    <w:rsid w:val="78006B8A"/>
    <w:rsid w:val="78366B8C"/>
    <w:rsid w:val="783B287A"/>
    <w:rsid w:val="78482C69"/>
    <w:rsid w:val="784E2073"/>
    <w:rsid w:val="785D75AE"/>
    <w:rsid w:val="788B3E1B"/>
    <w:rsid w:val="78AE6E9C"/>
    <w:rsid w:val="78B43B82"/>
    <w:rsid w:val="78BB76EA"/>
    <w:rsid w:val="78F65C61"/>
    <w:rsid w:val="78FB1BD1"/>
    <w:rsid w:val="79047B25"/>
    <w:rsid w:val="79072F5A"/>
    <w:rsid w:val="79146E6B"/>
    <w:rsid w:val="79213328"/>
    <w:rsid w:val="792705B6"/>
    <w:rsid w:val="792D5572"/>
    <w:rsid w:val="793322F2"/>
    <w:rsid w:val="79403759"/>
    <w:rsid w:val="794C398F"/>
    <w:rsid w:val="7964511F"/>
    <w:rsid w:val="796E05E3"/>
    <w:rsid w:val="798C6EC4"/>
    <w:rsid w:val="798E2873"/>
    <w:rsid w:val="79992256"/>
    <w:rsid w:val="799E7491"/>
    <w:rsid w:val="799F3F47"/>
    <w:rsid w:val="79A72484"/>
    <w:rsid w:val="79B567E7"/>
    <w:rsid w:val="79BA02B6"/>
    <w:rsid w:val="79BA471D"/>
    <w:rsid w:val="79C677D6"/>
    <w:rsid w:val="79DB1308"/>
    <w:rsid w:val="79DF005F"/>
    <w:rsid w:val="79E028EC"/>
    <w:rsid w:val="79F574FB"/>
    <w:rsid w:val="7A114E8A"/>
    <w:rsid w:val="7A1C5B1C"/>
    <w:rsid w:val="7A3A591D"/>
    <w:rsid w:val="7A4653BA"/>
    <w:rsid w:val="7A4D2D0C"/>
    <w:rsid w:val="7A6111D6"/>
    <w:rsid w:val="7A623BC4"/>
    <w:rsid w:val="7A765EEC"/>
    <w:rsid w:val="7A790CA9"/>
    <w:rsid w:val="7AB83F1D"/>
    <w:rsid w:val="7AD234FC"/>
    <w:rsid w:val="7ADF56A1"/>
    <w:rsid w:val="7AE2061C"/>
    <w:rsid w:val="7AFC3FF1"/>
    <w:rsid w:val="7B002131"/>
    <w:rsid w:val="7B063CF4"/>
    <w:rsid w:val="7B0864F6"/>
    <w:rsid w:val="7B1B16D3"/>
    <w:rsid w:val="7B2E6780"/>
    <w:rsid w:val="7B3D7D31"/>
    <w:rsid w:val="7B5D217A"/>
    <w:rsid w:val="7B5F3949"/>
    <w:rsid w:val="7B614801"/>
    <w:rsid w:val="7B674E23"/>
    <w:rsid w:val="7B684A54"/>
    <w:rsid w:val="7B724CBB"/>
    <w:rsid w:val="7B913B86"/>
    <w:rsid w:val="7B97422A"/>
    <w:rsid w:val="7BA969F0"/>
    <w:rsid w:val="7BB31B68"/>
    <w:rsid w:val="7BCB3FDA"/>
    <w:rsid w:val="7BE44FA6"/>
    <w:rsid w:val="7BEF6F31"/>
    <w:rsid w:val="7C071C5F"/>
    <w:rsid w:val="7C194469"/>
    <w:rsid w:val="7C1A2092"/>
    <w:rsid w:val="7C1A6CD5"/>
    <w:rsid w:val="7C2216E0"/>
    <w:rsid w:val="7C2630F4"/>
    <w:rsid w:val="7C2841E1"/>
    <w:rsid w:val="7C3313AF"/>
    <w:rsid w:val="7C45471C"/>
    <w:rsid w:val="7C7C67BD"/>
    <w:rsid w:val="7C7E27D3"/>
    <w:rsid w:val="7C7F3629"/>
    <w:rsid w:val="7C805A27"/>
    <w:rsid w:val="7C8B7A6D"/>
    <w:rsid w:val="7C90110D"/>
    <w:rsid w:val="7C9170A6"/>
    <w:rsid w:val="7C9B6AF6"/>
    <w:rsid w:val="7CA34622"/>
    <w:rsid w:val="7CC2435F"/>
    <w:rsid w:val="7D050DA4"/>
    <w:rsid w:val="7D0A1590"/>
    <w:rsid w:val="7D267650"/>
    <w:rsid w:val="7D2F6FF7"/>
    <w:rsid w:val="7D303FCF"/>
    <w:rsid w:val="7D332F6D"/>
    <w:rsid w:val="7D3D587B"/>
    <w:rsid w:val="7D4435DF"/>
    <w:rsid w:val="7D573BA6"/>
    <w:rsid w:val="7D5B231F"/>
    <w:rsid w:val="7D693B5B"/>
    <w:rsid w:val="7D694213"/>
    <w:rsid w:val="7D6E6D2F"/>
    <w:rsid w:val="7D9C18DB"/>
    <w:rsid w:val="7DA74DEC"/>
    <w:rsid w:val="7DAB7179"/>
    <w:rsid w:val="7DB838C8"/>
    <w:rsid w:val="7DC23C3E"/>
    <w:rsid w:val="7DCA5633"/>
    <w:rsid w:val="7DF46E1B"/>
    <w:rsid w:val="7E0464CE"/>
    <w:rsid w:val="7E202324"/>
    <w:rsid w:val="7E2C2660"/>
    <w:rsid w:val="7E2D170A"/>
    <w:rsid w:val="7E336176"/>
    <w:rsid w:val="7E346BB8"/>
    <w:rsid w:val="7E3C5C68"/>
    <w:rsid w:val="7E3E6CB5"/>
    <w:rsid w:val="7E476D34"/>
    <w:rsid w:val="7E6326CB"/>
    <w:rsid w:val="7E6D6DAE"/>
    <w:rsid w:val="7E9B11AA"/>
    <w:rsid w:val="7EA32AD0"/>
    <w:rsid w:val="7EC43972"/>
    <w:rsid w:val="7ED953E3"/>
    <w:rsid w:val="7EE15185"/>
    <w:rsid w:val="7EE94BA3"/>
    <w:rsid w:val="7EF765D0"/>
    <w:rsid w:val="7EF868E4"/>
    <w:rsid w:val="7EF87C96"/>
    <w:rsid w:val="7F097C01"/>
    <w:rsid w:val="7F117454"/>
    <w:rsid w:val="7F2F2439"/>
    <w:rsid w:val="7F301B1E"/>
    <w:rsid w:val="7F375D0A"/>
    <w:rsid w:val="7F500CBA"/>
    <w:rsid w:val="7F587DE1"/>
    <w:rsid w:val="7F7132A0"/>
    <w:rsid w:val="7F7C3046"/>
    <w:rsid w:val="7F820D78"/>
    <w:rsid w:val="7F864D1F"/>
    <w:rsid w:val="7F8A4151"/>
    <w:rsid w:val="7F935AA2"/>
    <w:rsid w:val="7F9940C1"/>
    <w:rsid w:val="7F9A6A9E"/>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1"/>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ind w:left="575"/>
      <w:outlineLvl w:val="1"/>
    </w:pPr>
    <w:rPr>
      <w:sz w:val="32"/>
    </w:rPr>
  </w:style>
  <w:style w:type="paragraph" w:styleId="4">
    <w:name w:val="heading 3"/>
    <w:basedOn w:val="3"/>
    <w:next w:val="1"/>
    <w:link w:val="60"/>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kern w:val="2"/>
      <w:sz w:val="21"/>
      <w:szCs w:val="20"/>
    </w:rPr>
  </w:style>
  <w:style w:type="paragraph" w:styleId="13">
    <w:name w:val="caption"/>
    <w:basedOn w:val="1"/>
    <w:next w:val="1"/>
    <w:link w:val="45"/>
    <w:qFormat/>
    <w:uiPriority w:val="0"/>
    <w:pPr>
      <w:tabs>
        <w:tab w:val="left" w:pos="1418"/>
      </w:tabs>
      <w:spacing w:before="120" w:after="120" w:line="240" w:lineRule="auto"/>
    </w:pPr>
    <w:rPr>
      <w:b/>
      <w:bCs/>
      <w:sz w:val="20"/>
      <w:szCs w:val="20"/>
      <w:lang w:val="en-GB" w:eastAsia="sv-SE"/>
    </w:rPr>
  </w:style>
  <w:style w:type="paragraph" w:styleId="14">
    <w:name w:val="Document Map"/>
    <w:basedOn w:val="1"/>
    <w:link w:val="58"/>
    <w:unhideWhenUsed/>
    <w:qFormat/>
    <w:uiPriority w:val="99"/>
    <w:rPr>
      <w:rFonts w:ascii="宋体"/>
      <w:sz w:val="18"/>
      <w:szCs w:val="18"/>
    </w:rPr>
  </w:style>
  <w:style w:type="paragraph" w:styleId="15">
    <w:name w:val="annotation text"/>
    <w:basedOn w:val="1"/>
    <w:link w:val="50"/>
    <w:unhideWhenUsed/>
    <w:qFormat/>
    <w:uiPriority w:val="0"/>
    <w:rPr>
      <w:sz w:val="20"/>
      <w:szCs w:val="20"/>
    </w:rPr>
  </w:style>
  <w:style w:type="paragraph" w:styleId="16">
    <w:name w:val="Body Text"/>
    <w:basedOn w:val="1"/>
    <w:link w:val="51"/>
    <w:qFormat/>
    <w:uiPriority w:val="0"/>
    <w:pPr>
      <w:widowControl w:val="0"/>
      <w:spacing w:after="0" w:line="240" w:lineRule="auto"/>
      <w:jc w:val="both"/>
    </w:pPr>
    <w:rPr>
      <w:color w:val="0000FF"/>
      <w:kern w:val="2"/>
      <w:sz w:val="21"/>
      <w:szCs w:val="20"/>
    </w:rPr>
  </w:style>
  <w:style w:type="paragraph" w:styleId="17">
    <w:name w:val="List 2"/>
    <w:basedOn w:val="1"/>
    <w:unhideWhenUsed/>
    <w:qFormat/>
    <w:uiPriority w:val="99"/>
    <w:pPr>
      <w:ind w:left="100" w:leftChars="200" w:hanging="200" w:hangingChars="200"/>
      <w:contextualSpacing/>
    </w:pPr>
  </w:style>
  <w:style w:type="paragraph" w:styleId="18">
    <w:name w:val="Balloon Text"/>
    <w:basedOn w:val="1"/>
    <w:link w:val="54"/>
    <w:unhideWhenUsed/>
    <w:qFormat/>
    <w:uiPriority w:val="99"/>
    <w:pPr>
      <w:spacing w:after="0" w:line="240" w:lineRule="auto"/>
    </w:pPr>
    <w:rPr>
      <w:rFonts w:ascii="Tahoma" w:hAnsi="Tahoma"/>
      <w:sz w:val="16"/>
      <w:szCs w:val="16"/>
    </w:rPr>
  </w:style>
  <w:style w:type="paragraph" w:styleId="19">
    <w:name w:val="footer"/>
    <w:basedOn w:val="1"/>
    <w:qFormat/>
    <w:uiPriority w:val="0"/>
    <w:pPr>
      <w:tabs>
        <w:tab w:val="center" w:pos="4153"/>
        <w:tab w:val="right" w:pos="8306"/>
      </w:tabs>
      <w:snapToGrid w:val="0"/>
      <w:spacing w:line="240" w:lineRule="auto"/>
    </w:pPr>
    <w:rPr>
      <w:sz w:val="18"/>
      <w:szCs w:val="18"/>
    </w:rPr>
  </w:style>
  <w:style w:type="paragraph" w:styleId="20">
    <w:name w:val="header"/>
    <w:basedOn w:val="1"/>
    <w:link w:val="36"/>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1">
    <w:name w:val="List"/>
    <w:basedOn w:val="1"/>
    <w:unhideWhenUsed/>
    <w:qFormat/>
    <w:uiPriority w:val="99"/>
    <w:pPr>
      <w:ind w:left="200" w:hanging="200" w:hangingChars="200"/>
      <w:contextualSpacing/>
    </w:pPr>
  </w:style>
  <w:style w:type="paragraph" w:styleId="22">
    <w:name w:val="footnote text"/>
    <w:basedOn w:val="1"/>
    <w:link w:val="38"/>
    <w:semiHidden/>
    <w:qFormat/>
    <w:uiPriority w:val="0"/>
    <w:pPr>
      <w:spacing w:after="0" w:line="240" w:lineRule="auto"/>
      <w:jc w:val="both"/>
    </w:pPr>
    <w:rPr>
      <w:rFonts w:ascii="Times" w:hAnsi="Times" w:eastAsia="Batang"/>
      <w:sz w:val="20"/>
      <w:szCs w:val="20"/>
      <w:lang w:eastAsia="en-US"/>
    </w:rPr>
  </w:style>
  <w:style w:type="paragraph" w:styleId="2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4">
    <w:name w:val="annotation subject"/>
    <w:basedOn w:val="15"/>
    <w:next w:val="15"/>
    <w:link w:val="37"/>
    <w:unhideWhenUsed/>
    <w:qFormat/>
    <w:uiPriority w:val="99"/>
    <w:rPr>
      <w:b/>
      <w:bCs/>
    </w:rPr>
  </w:style>
  <w:style w:type="table" w:styleId="26">
    <w:name w:val="Table Grid"/>
    <w:basedOn w:val="2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27">
    <w:name w:val="Medium Grid 1 Accent 2"/>
    <w:basedOn w:val="25"/>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Layout w:type="fixed"/>
      <w:tblCellMar>
        <w:top w:w="0" w:type="dxa"/>
        <w:left w:w="108" w:type="dxa"/>
        <w:bottom w:w="0" w:type="dxa"/>
        <w:right w:w="108" w:type="dxa"/>
      </w:tblCellMar>
    </w:tblPr>
    <w:tcPr>
      <w:shd w:val="clear" w:color="auto" w:fill="EFD3D2"/>
    </w:tcPr>
    <w:tblStylePr w:type="firstRow">
      <w:rPr>
        <w:b/>
        <w:bCs/>
      </w:rPr>
    </w:tblStylePr>
    <w:tblStylePr w:type="lastRow">
      <w:rPr>
        <w:b/>
        <w:bCs/>
      </w:rPr>
      <w:tblPr>
        <w:tblLayout w:type="fixed"/>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shd w:val="clear" w:color="auto" w:fill="DFA7A6"/>
      </w:tcPr>
    </w:tblStylePr>
    <w:tblStylePr w:type="band1Horz">
      <w:tblPr>
        <w:tblLayout w:type="fixed"/>
      </w:tblPr>
      <w:tcPr>
        <w:shd w:val="clear" w:color="auto" w:fill="DFA7A6"/>
      </w:tcPr>
    </w:tblStylePr>
  </w:style>
  <w:style w:type="character" w:styleId="29">
    <w:name w:val="Strong"/>
    <w:qFormat/>
    <w:uiPriority w:val="22"/>
    <w:rPr>
      <w:b/>
    </w:rPr>
  </w:style>
  <w:style w:type="character" w:styleId="30">
    <w:name w:val="page number"/>
    <w:basedOn w:val="28"/>
    <w:semiHidden/>
    <w:qFormat/>
    <w:uiPriority w:val="0"/>
  </w:style>
  <w:style w:type="character" w:styleId="31">
    <w:name w:val="FollowedHyperlink"/>
    <w:unhideWhenUsed/>
    <w:qFormat/>
    <w:uiPriority w:val="99"/>
    <w:rPr>
      <w:color w:val="2779B6"/>
      <w:u w:val="single"/>
    </w:rPr>
  </w:style>
  <w:style w:type="character" w:styleId="32">
    <w:name w:val="Emphasis"/>
    <w:qFormat/>
    <w:uiPriority w:val="0"/>
    <w:rPr>
      <w:i/>
    </w:rPr>
  </w:style>
  <w:style w:type="character" w:styleId="33">
    <w:name w:val="Hyperlink"/>
    <w:unhideWhenUsed/>
    <w:qFormat/>
    <w:uiPriority w:val="99"/>
    <w:rPr>
      <w:color w:val="2779B6"/>
      <w:u w:val="single"/>
    </w:rPr>
  </w:style>
  <w:style w:type="character" w:styleId="34">
    <w:name w:val="annotation reference"/>
    <w:unhideWhenUsed/>
    <w:qFormat/>
    <w:uiPriority w:val="0"/>
    <w:rPr>
      <w:sz w:val="16"/>
      <w:szCs w:val="16"/>
    </w:rPr>
  </w:style>
  <w:style w:type="character" w:styleId="35">
    <w:name w:val="footnote reference"/>
    <w:semiHidden/>
    <w:qFormat/>
    <w:uiPriority w:val="0"/>
    <w:rPr>
      <w:b/>
      <w:position w:val="6"/>
      <w:sz w:val="16"/>
    </w:rPr>
  </w:style>
  <w:style w:type="character" w:customStyle="1" w:styleId="36">
    <w:name w:val="页眉 Char"/>
    <w:link w:val="20"/>
    <w:qFormat/>
    <w:uiPriority w:val="0"/>
    <w:rPr>
      <w:rFonts w:ascii="Arial" w:hAnsi="Arial" w:eastAsia="MS Mincho"/>
      <w:b/>
      <w:szCs w:val="24"/>
      <w:lang w:eastAsia="en-US"/>
    </w:rPr>
  </w:style>
  <w:style w:type="character" w:customStyle="1" w:styleId="37">
    <w:name w:val="批注主题 Char"/>
    <w:link w:val="24"/>
    <w:semiHidden/>
    <w:qFormat/>
    <w:uiPriority w:val="99"/>
    <w:rPr>
      <w:b/>
      <w:bCs/>
    </w:rPr>
  </w:style>
  <w:style w:type="character" w:customStyle="1" w:styleId="38">
    <w:name w:val="脚注文本 Char"/>
    <w:link w:val="22"/>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8"/>
    <w:qFormat/>
    <w:uiPriority w:val="0"/>
  </w:style>
  <w:style w:type="character" w:customStyle="1" w:styleId="45">
    <w:name w:val="题注 Char"/>
    <w:link w:val="13"/>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21"/>
    <w:link w:val="46"/>
    <w:qFormat/>
    <w:uiPriority w:val="0"/>
    <w:pPr>
      <w:spacing w:after="180" w:line="240" w:lineRule="auto"/>
      <w:ind w:left="568" w:hanging="284" w:firstLineChars="0"/>
    </w:pPr>
    <w:rPr>
      <w:sz w:val="20"/>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0">
    <w:name w:val="批注文字 Char"/>
    <w:basedOn w:val="28"/>
    <w:link w:val="15"/>
    <w:qFormat/>
    <w:uiPriority w:val="0"/>
  </w:style>
  <w:style w:type="character" w:customStyle="1" w:styleId="51">
    <w:name w:val="正文文本 Char"/>
    <w:link w:val="16"/>
    <w:qFormat/>
    <w:uiPriority w:val="0"/>
    <w:rPr>
      <w:rFonts w:ascii="Times New Roman" w:hAnsi="Times New Roman"/>
      <w:color w:val="0000FF"/>
      <w:kern w:val="2"/>
      <w:sz w:val="21"/>
    </w:rPr>
  </w:style>
  <w:style w:type="character" w:customStyle="1" w:styleId="52">
    <w:name w:val="def"/>
    <w:basedOn w:val="28"/>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批注框文本 Char"/>
    <w:link w:val="18"/>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 w:val="20"/>
      <w:szCs w:val="20"/>
      <w:lang w:val="en-GB" w:eastAsia="ko-KR"/>
    </w:rPr>
  </w:style>
  <w:style w:type="character" w:customStyle="1" w:styleId="57">
    <w:name w:val="word"/>
    <w:basedOn w:val="28"/>
    <w:qFormat/>
    <w:uiPriority w:val="0"/>
  </w:style>
  <w:style w:type="character" w:customStyle="1" w:styleId="58">
    <w:name w:val="文档结构图 Char"/>
    <w:link w:val="14"/>
    <w:semiHidden/>
    <w:qFormat/>
    <w:uiPriority w:val="99"/>
    <w:rPr>
      <w:rFonts w:ascii="宋体"/>
      <w:sz w:val="18"/>
      <w:szCs w:val="18"/>
    </w:rPr>
  </w:style>
  <w:style w:type="character" w:customStyle="1" w:styleId="59">
    <w:name w:val="high-light"/>
    <w:basedOn w:val="28"/>
    <w:qFormat/>
    <w:uiPriority w:val="0"/>
  </w:style>
  <w:style w:type="character" w:customStyle="1" w:styleId="60">
    <w:name w:val="标题 3 Char"/>
    <w:link w:val="4"/>
    <w:qFormat/>
    <w:uiPriority w:val="9"/>
    <w:rPr>
      <w:b/>
      <w:bCs/>
      <w:sz w:val="32"/>
      <w:szCs w:val="32"/>
    </w:rPr>
  </w:style>
  <w:style w:type="character" w:customStyle="1" w:styleId="61">
    <w:name w:val="标题 1 Char"/>
    <w:link w:val="2"/>
    <w:qFormat/>
    <w:uiPriority w:val="99"/>
    <w:rPr>
      <w:rFonts w:ascii="Arial" w:hAnsi="Arial" w:eastAsia="黑体"/>
      <w:b/>
      <w:bCs/>
      <w:sz w:val="30"/>
      <w:szCs w:val="30"/>
      <w:lang w:val="zh-CN"/>
    </w:rPr>
  </w:style>
  <w:style w:type="character" w:customStyle="1" w:styleId="62">
    <w:name w:val="pos"/>
    <w:basedOn w:val="28"/>
    <w:qFormat/>
    <w:uiPriority w:val="0"/>
  </w:style>
  <w:style w:type="character" w:customStyle="1" w:styleId="63">
    <w:name w:val="apple-style-span"/>
    <w:basedOn w:val="28"/>
    <w:qFormat/>
    <w:uiPriority w:val="0"/>
  </w:style>
  <w:style w:type="character" w:customStyle="1" w:styleId="64">
    <w:name w:val="ZGSM"/>
    <w:qFormat/>
    <w:uiPriority w:val="0"/>
  </w:style>
  <w:style w:type="paragraph" w:customStyle="1" w:styleId="65">
    <w:name w:val="TAH"/>
    <w:basedOn w:val="42"/>
    <w:link w:val="92"/>
    <w:qFormat/>
    <w:uiPriority w:val="0"/>
    <w:rPr>
      <w:b/>
    </w:rPr>
  </w:style>
  <w:style w:type="paragraph" w:customStyle="1" w:styleId="66">
    <w:name w:val="无间隔1"/>
    <w:qFormat/>
    <w:uiPriority w:val="99"/>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2"/>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3"/>
      </w:numPr>
    </w:pPr>
  </w:style>
  <w:style w:type="paragraph" w:customStyle="1" w:styleId="74">
    <w:name w:val="修订1"/>
    <w:qFormat/>
    <w:uiPriority w:val="71"/>
    <w:rPr>
      <w:rFonts w:ascii="Times New Roman" w:hAnsi="Times New Roman" w:eastAsia="宋体" w:cs="Times New Roman"/>
      <w:sz w:val="22"/>
      <w:szCs w:val="22"/>
      <w:lang w:val="en-US" w:eastAsia="zh-CN" w:bidi="ar-SA"/>
    </w:rPr>
  </w:style>
  <w:style w:type="paragraph" w:customStyle="1" w:styleId="75">
    <w:name w:val="No Spacing1"/>
    <w:qFormat/>
    <w:uiPriority w:val="1"/>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4"/>
      </w:numPr>
    </w:pPr>
  </w:style>
  <w:style w:type="paragraph" w:customStyle="1" w:styleId="78">
    <w:name w:val="_Style 2"/>
    <w:qFormat/>
    <w:uiPriority w:val="99"/>
    <w:rPr>
      <w:rFonts w:ascii="Times New Roman" w:hAnsi="Times New Roman" w:eastAsia="宋体" w:cs="Times New Roman"/>
      <w:sz w:val="22"/>
      <w:szCs w:val="22"/>
      <w:lang w:val="en-US" w:eastAsia="zh-CN" w:bidi="ar-SA"/>
    </w:rPr>
  </w:style>
  <w:style w:type="paragraph" w:customStyle="1" w:styleId="79">
    <w:name w:val="_Style 1"/>
    <w:qFormat/>
    <w:uiPriority w:val="99"/>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5"/>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Layout w:type="fixed"/>
      <w:tblCellMar>
        <w:top w:w="0" w:type="dxa"/>
        <w:left w:w="108" w:type="dxa"/>
        <w:bottom w:w="0" w:type="dxa"/>
        <w:right w:w="108" w:type="dxa"/>
      </w:tblCellMar>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 w:val="20"/>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8">
    <w:name w:val="占位符文本1"/>
    <w:basedOn w:val="28"/>
    <w:unhideWhenUsed/>
    <w:qFormat/>
    <w:uiPriority w:val="99"/>
    <w:rPr>
      <w:color w:val="808080"/>
    </w:rPr>
  </w:style>
  <w:style w:type="paragraph" w:customStyle="1" w:styleId="99">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8"/>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8"/>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 w:val="20"/>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49"/>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9">
    <w:name w:val="List Paragraph3"/>
    <w:basedOn w:val="1"/>
    <w:qFormat/>
    <w:uiPriority w:val="99"/>
    <w:pPr>
      <w:ind w:firstLine="420" w:firstLineChars="200"/>
    </w:pPr>
  </w:style>
  <w:style w:type="paragraph" w:customStyle="1" w:styleId="110">
    <w:name w:val="B3"/>
    <w:basedOn w:val="11"/>
    <w:qFormat/>
    <w:uiPriority w:val="0"/>
    <w:pPr>
      <w:spacing w:after="180" w:line="240" w:lineRule="auto"/>
      <w:ind w:left="1135" w:leftChars="0" w:hanging="284" w:firstLineChars="0"/>
      <w:contextualSpacing w:val="0"/>
    </w:pPr>
    <w:rPr>
      <w:rFonts w:eastAsia="MS Mincho"/>
      <w:sz w:val="20"/>
      <w:szCs w:val="20"/>
      <w:lang w:val="en-GB" w:eastAsia="en-US"/>
    </w:rPr>
  </w:style>
  <w:style w:type="paragraph" w:customStyle="1" w:styleId="111">
    <w:name w:val="B2"/>
    <w:basedOn w:val="17"/>
    <w:qFormat/>
    <w:uiPriority w:val="0"/>
    <w:pPr>
      <w:ind w:left="851" w:hanging="284"/>
    </w:pPr>
    <w:rPr>
      <w:lang w:val="zh-CN"/>
    </w:rPr>
  </w:style>
  <w:style w:type="paragraph" w:customStyle="1" w:styleId="112">
    <w:name w:val="B4"/>
    <w:basedOn w:val="1"/>
    <w:qFormat/>
    <w:uiPriority w:val="0"/>
    <w:pPr>
      <w:ind w:left="1418" w:hanging="284"/>
    </w:pPr>
  </w:style>
  <w:style w:type="paragraph" w:customStyle="1" w:styleId="113">
    <w:name w:val="TAN"/>
    <w:basedOn w:val="43"/>
    <w:qFormat/>
    <w:uiPriority w:val="0"/>
    <w:pPr>
      <w:ind w:left="851" w:hanging="851"/>
    </w:pPr>
  </w:style>
  <w:style w:type="paragraph" w:customStyle="1" w:styleId="114">
    <w:name w:val="References"/>
    <w:basedOn w:val="1"/>
    <w:qFormat/>
    <w:uiPriority w:val="0"/>
    <w:pPr>
      <w:numPr>
        <w:ilvl w:val="0"/>
        <w:numId w:val="5"/>
      </w:numPr>
      <w:snapToGrid w:val="0"/>
      <w:spacing w:after="60"/>
    </w:pPr>
    <w:rPr>
      <w:szCs w:val="16"/>
    </w:rPr>
  </w:style>
  <w:style w:type="paragraph" w:customStyle="1" w:styleId="115">
    <w:name w:val="03_Proposal"/>
    <w:basedOn w:val="116"/>
    <w:qFormat/>
    <w:uiPriority w:val="0"/>
    <w:rPr>
      <w:b/>
      <w:i w:val="0"/>
      <w:iCs w:val="0"/>
    </w:rPr>
  </w:style>
  <w:style w:type="paragraph" w:customStyle="1" w:styleId="116">
    <w:name w:val="04_Proposal1"/>
    <w:basedOn w:val="1"/>
    <w:qFormat/>
    <w:uiPriority w:val="0"/>
    <w:rPr>
      <w:bCs/>
      <w:i/>
      <w:iCs/>
    </w:rPr>
  </w:style>
  <w:style w:type="paragraph" w:customStyle="1" w:styleId="117">
    <w:name w:val="列出段落2"/>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0BD45-16E0-447D-9360-2AF21725A49D}">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1367</Words>
  <Characters>7792</Characters>
  <Lines>64</Lines>
  <Paragraphs>18</Paragraphs>
  <TotalTime>0</TotalTime>
  <ScaleCrop>false</ScaleCrop>
  <LinksUpToDate>false</LinksUpToDate>
  <CharactersWithSpaces>9141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2020-08-06T01:13:00Z</dcterms:created>
  <dc:creator>ZTE</dc:creator>
  <cp:lastModifiedBy>ZTE</cp:lastModifiedBy>
  <dcterms:modified xsi:type="dcterms:W3CDTF">2020-08-06T03:14:06Z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